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rPr>
          <w:rFonts w:hint="eastAsia" w:ascii="黑体" w:hAnsi="黑体" w:eastAsia="黑体"/>
          <w:szCs w:val="32"/>
          <w:highlight w:val="none"/>
        </w:rPr>
      </w:pPr>
      <w:bookmarkStart w:id="2" w:name="_GoBack"/>
    </w:p>
    <w:p>
      <w:pPr>
        <w:spacing w:line="490" w:lineRule="exact"/>
        <w:jc w:val="center"/>
        <w:rPr>
          <w:rFonts w:hint="eastAsia" w:ascii="黑体" w:hAnsi="黑体" w:eastAsia="黑体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highlight w:val="none"/>
        </w:rPr>
        <w:t>项目支出绩效自评表</w:t>
      </w:r>
    </w:p>
    <w:p>
      <w:pPr>
        <w:spacing w:line="490" w:lineRule="exact"/>
        <w:jc w:val="center"/>
        <w:rPr>
          <w:rFonts w:hint="eastAsia" w:ascii="楷体_GB2312" w:hAnsi="黑体" w:eastAsia="楷体_GB2312"/>
          <w:szCs w:val="32"/>
          <w:highlight w:val="none"/>
        </w:rPr>
      </w:pPr>
      <w:r>
        <w:rPr>
          <w:rFonts w:hint="eastAsia" w:ascii="楷体_GB2312" w:hAnsi="宋体" w:eastAsia="楷体_GB2312" w:cs="宋体"/>
          <w:kern w:val="0"/>
          <w:szCs w:val="32"/>
          <w:highlight w:val="none"/>
        </w:rPr>
        <w:t>（</w:t>
      </w:r>
      <w:r>
        <w:rPr>
          <w:rFonts w:hint="eastAsia" w:ascii="楷体_GB2312" w:hAnsi="宋体" w:eastAsia="楷体_GB2312" w:cs="宋体"/>
          <w:kern w:val="0"/>
          <w:szCs w:val="32"/>
          <w:highlight w:val="none"/>
          <w:lang w:val="en-US" w:eastAsia="zh-CN"/>
        </w:rPr>
        <w:t>2023</w:t>
      </w:r>
      <w:r>
        <w:rPr>
          <w:rFonts w:hint="eastAsia" w:ascii="楷体_GB2312" w:hAnsi="宋体" w:eastAsia="楷体_GB2312" w:cs="宋体"/>
          <w:kern w:val="0"/>
          <w:szCs w:val="32"/>
          <w:highlight w:val="none"/>
        </w:rPr>
        <w:t>年度）</w:t>
      </w:r>
    </w:p>
    <w:tbl>
      <w:tblPr>
        <w:tblStyle w:val="3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250"/>
        <w:gridCol w:w="592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审计业务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海口市审计局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海口市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工程项目审计中心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51.01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377"/>
                <w:tab w:val="left" w:pos="548"/>
              </w:tabs>
              <w:spacing w:line="200" w:lineRule="exact"/>
              <w:ind w:firstLine="180" w:firstLineChars="100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86.46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51.01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86.46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000000"/>
                <w:spacing w:val="0"/>
                <w:sz w:val="19"/>
                <w:szCs w:val="19"/>
                <w:highlight w:val="none"/>
                <w:shd w:val="clear" w:fill="F5F5F5"/>
              </w:rPr>
              <w:t>完成计划内审计项目及交办项目，保障聘用及派遣人员工资社保公积金等工资福利支出。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完成预期目标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一级指标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二级指标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年度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实际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产出指标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数量指标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Segoe UI" w:hAnsi="Segoe UI" w:eastAsia="Segoe UI" w:cs="Segoe UI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AFAFA"/>
              </w:rPr>
            </w:pPr>
            <w:r>
              <w:rPr>
                <w:rFonts w:hint="eastAsia" w:ascii="Segoe UI" w:hAnsi="Segoe UI" w:eastAsia="Segoe UI" w:cs="Segoe UI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AFAFA"/>
              </w:rPr>
              <w:t>完成年度计划审计项目和临时交办审计项目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效益指标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社会效益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指标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897"/>
              </w:tabs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Segoe UI" w:hAnsi="Segoe UI" w:eastAsia="Segoe UI" w:cs="Segoe UI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AFAFA"/>
              </w:rPr>
              <w:t>移送重大案件线索和事项数量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000000"/>
                <w:spacing w:val="0"/>
                <w:sz w:val="19"/>
                <w:szCs w:val="19"/>
                <w:highlight w:val="none"/>
                <w:shd w:val="clear" w:fill="F5F5F5"/>
              </w:rPr>
              <w:t>满意度指标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服务对象满意度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897"/>
              </w:tabs>
              <w:spacing w:line="2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审计人员被投诉率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sz w:val="28"/>
          <w:szCs w:val="28"/>
          <w:highlight w:val="none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highlight w:val="none"/>
        </w:rPr>
        <w:t>项目支出绩效评价指标体系</w:t>
      </w:r>
    </w:p>
    <w:tbl>
      <w:tblPr>
        <w:tblStyle w:val="3"/>
        <w:tblW w:w="8763" w:type="dxa"/>
        <w:jc w:val="center"/>
        <w:tblInd w:w="0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928"/>
        <w:gridCol w:w="1325"/>
        <w:gridCol w:w="830"/>
        <w:gridCol w:w="1770"/>
        <w:gridCol w:w="791"/>
        <w:gridCol w:w="1740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highlight w:val="none"/>
              </w:rPr>
              <w:t>一级指标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highlight w:val="none"/>
              </w:rPr>
              <w:t>分值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highlight w:val="none"/>
              </w:rPr>
              <w:t>二级指标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highlight w:val="none"/>
              </w:rPr>
              <w:t>分值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highlight w:val="none"/>
              </w:rPr>
              <w:t>三级指标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highlight w:val="none"/>
              </w:rPr>
              <w:t>分值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项目决策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项目目标</w: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fldChar w:fldCharType="end"/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目标内容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决策过程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决策依据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决策程序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资金分配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分配办法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分配结果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项目管理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资金到位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到位率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到位时效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资金管理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资金使用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财务管理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组织实施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组织机构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管理制度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项目绩效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55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项目产出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产出数量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产出质量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产出时效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产出成本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项目效益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经济效益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社会效益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环境效益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可持续影响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服务对象满意度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highlight w:val="none"/>
              </w:rPr>
              <w:t>总分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highlight w:val="none"/>
              </w:rPr>
              <w:t>100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highlight w:val="none"/>
              </w:rPr>
              <w:t>100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highlight w:val="none"/>
              </w:rPr>
              <w:t>100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Cs/>
                <w:color w:val="00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99</w:t>
            </w:r>
          </w:p>
        </w:tc>
      </w:tr>
    </w:tbl>
    <w:p>
      <w:pPr>
        <w:rPr>
          <w:rFonts w:hint="eastAsia" w:ascii="宋体" w:hAnsi="宋体" w:eastAsia="宋体"/>
          <w:b/>
          <w:bCs/>
          <w:color w:val="000000"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bCs/>
          <w:color w:val="000000"/>
          <w:sz w:val="44"/>
          <w:szCs w:val="44"/>
          <w:highlight w:val="none"/>
        </w:rPr>
        <w:br w:type="page"/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</w:rPr>
        <w:t>财政支出项目绩效评价报告</w:t>
      </w:r>
    </w:p>
    <w:p>
      <w:pPr>
        <w:spacing w:line="578" w:lineRule="exact"/>
        <w:jc w:val="center"/>
        <w:outlineLvl w:val="0"/>
        <w:rPr>
          <w:rFonts w:hint="eastAsia" w:ascii="宋体" w:hAnsi="宋体" w:eastAsia="宋体"/>
          <w:b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宋体" w:hAnsi="宋体"/>
          <w:b/>
          <w:color w:val="000000"/>
          <w:sz w:val="32"/>
          <w:szCs w:val="32"/>
          <w:highlight w:val="none"/>
          <w:lang w:eastAsia="zh-CN"/>
        </w:rPr>
        <w:t>——审计业务项目</w:t>
      </w:r>
    </w:p>
    <w:p>
      <w:pPr>
        <w:spacing w:line="578" w:lineRule="exact"/>
        <w:outlineLvl w:val="0"/>
        <w:rPr>
          <w:rFonts w:hint="eastAsia"/>
          <w:color w:val="000000"/>
          <w:highlight w:val="none"/>
        </w:rPr>
      </w:pPr>
    </w:p>
    <w:p>
      <w:pPr>
        <w:spacing w:line="578" w:lineRule="exact"/>
        <w:ind w:firstLine="640" w:firstLineChars="200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  <w:t>一、项目概况</w:t>
      </w:r>
    </w:p>
    <w:p>
      <w:pPr>
        <w:spacing w:line="578" w:lineRule="exact"/>
        <w:ind w:firstLine="640" w:firstLineChars="200"/>
        <w:outlineLvl w:val="0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（一）项目基本性质、用途和主要内容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bookmarkStart w:id="0" w:name="OLE_LINK2"/>
      <w:bookmarkStart w:id="1" w:name="OLE_LINK1"/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.项目单位基本情况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海口市工程项目审计中心（海口市电子数据审计技术中心）</w:t>
      </w:r>
      <w:bookmarkEnd w:id="0"/>
      <w:bookmarkEnd w:id="1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隶属海口市审计局，为副处级公益一类事业单位。内设办公室、审计一室、审计二室、监督复核室和数据分析室5个正科级职能机构事业编制24人，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在编在岗人员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，长期聘用人员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6人，劳务派遣人员2人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spacing w:line="578" w:lineRule="exact"/>
        <w:ind w:firstLine="640" w:firstLineChars="200"/>
        <w:outlineLvl w:val="0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2.项目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基本性质、用途和主要内容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审计业务为我中心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2022年一次性项目，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主要内容包含聘用人员经费、委托业务费等，用于保障聘用及派遣人员工资社保公积金等工资福利支出；切实加强政府公共投资建设项目的审计监督能力，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依法履行政府投资审计监督职责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，全面落实市审计局交办的各项任务，推动政府投资审计转型升级。</w:t>
      </w:r>
    </w:p>
    <w:p>
      <w:pPr>
        <w:spacing w:line="578" w:lineRule="exact"/>
        <w:ind w:firstLine="640" w:firstLineChars="200"/>
        <w:outlineLvl w:val="0"/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</w:rPr>
        <w:t>（二）项目绩效目标</w:t>
      </w:r>
    </w:p>
    <w:p>
      <w:pPr>
        <w:spacing w:line="578" w:lineRule="exact"/>
        <w:ind w:firstLine="640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总体目标：完成计划内审计项目及交办项目，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保障聘用及派遣人员工资社保公积金等工资福利支出。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具体设定一是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产出指标-数量指标：完成年度计划审计项目和临时交办审计项目大于等于15个（正向指标）；二是效益指标-社会效益指标：移送重大案件线索和事项数量大于等于3件（正向指标）；三是满意度指标—服务对象满意度：审计人员被投诉率小于等于5%（反向指标）。</w:t>
      </w:r>
    </w:p>
    <w:p>
      <w:pPr>
        <w:spacing w:line="578" w:lineRule="exact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 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 xml:space="preserve"> 二、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  <w:t>项目资金使用及管理情况</w:t>
      </w:r>
    </w:p>
    <w:p>
      <w:pPr>
        <w:spacing w:line="578" w:lineRule="exact"/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（一）项目资金到位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及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使用情况分析</w:t>
      </w:r>
    </w:p>
    <w:p>
      <w:pPr>
        <w:widowControl w:val="0"/>
        <w:numPr>
          <w:ilvl w:val="0"/>
          <w:numId w:val="0"/>
        </w:numPr>
        <w:spacing w:line="578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2022年我单位审计业务项目年初预算59万元，均为财政资金，实际到位资金59万元。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51.01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万元,完成预算率86.45%，其中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工资福利支出49.03万元，商品和服务支出1.98万元，资金结余7.99万元。</w:t>
      </w:r>
    </w:p>
    <w:p>
      <w:pPr>
        <w:numPr>
          <w:ilvl w:val="0"/>
          <w:numId w:val="1"/>
        </w:numPr>
        <w:spacing w:line="578" w:lineRule="exact"/>
        <w:ind w:left="0" w:leftChars="0" w:firstLine="640" w:firstLineChars="200"/>
        <w:outlineLvl w:val="0"/>
        <w:rPr>
          <w:rFonts w:hint="eastAsia" w:ascii="楷体" w:hAnsi="楷体" w:eastAsia="楷体" w:cs="楷体"/>
          <w:bCs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项目资金管理情况分析</w:t>
      </w:r>
    </w:p>
    <w:p>
      <w:pPr>
        <w:pStyle w:val="5"/>
        <w:spacing w:before="0" w:beforeAutospacing="0" w:after="0" w:afterAutospacing="0" w:line="560" w:lineRule="exact"/>
        <w:ind w:firstLineChars="198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highlight w:val="none"/>
          <w:lang w:val="en-US" w:eastAsia="zh-CN"/>
        </w:rPr>
        <w:t>本单位不断强化预算管理意识，根据《海口市审计局聘用人员管理办法》和审计项目特点，如实进行人员经费和委托业务费的预算编制。严格执行项目支出预算，科学合理安排支出，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highlight w:val="none"/>
          <w:lang w:val="en-US" w:eastAsia="zh-CN"/>
        </w:rPr>
        <w:t>加强对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highlight w:val="none"/>
          <w:lang w:val="en-US" w:eastAsia="zh-CN"/>
        </w:rPr>
        <w:t>预算执行过程的控制和结果的反馈，跟踪预算执行进度，以促进预算目标的全面完成，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项目资金拨付严格审批程序，使用规范，会计核算结果真实、准确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此次绩效评价过程中未发现有截留、挤占或挪用项目资金的情况。</w:t>
      </w:r>
    </w:p>
    <w:p>
      <w:pPr>
        <w:spacing w:line="578" w:lineRule="exact"/>
        <w:ind w:firstLine="640" w:firstLineChars="200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  <w:t>三、项目组织实施情况</w:t>
      </w:r>
    </w:p>
    <w:p>
      <w:pPr>
        <w:spacing w:line="578" w:lineRule="exact"/>
        <w:ind w:firstLine="640" w:firstLineChars="200"/>
        <w:outlineLvl w:val="0"/>
        <w:rPr>
          <w:rFonts w:hint="eastAsia" w:ascii="楷体" w:hAnsi="楷体" w:eastAsia="楷体" w:cs="楷体"/>
          <w:bCs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highlight w:val="none"/>
        </w:rPr>
        <w:t>（一）项目组织情况分析</w:t>
      </w:r>
    </w:p>
    <w:p>
      <w:pPr>
        <w:pStyle w:val="5"/>
        <w:spacing w:before="0" w:beforeAutospacing="0" w:after="0" w:afterAutospacing="0" w:line="560" w:lineRule="exact"/>
        <w:ind w:firstLineChars="198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highlight w:val="none"/>
          <w:lang w:val="en-US" w:eastAsia="zh-CN"/>
        </w:rPr>
        <w:t>在建立并实施内部监督和控制制度过程中，全面梳理业务流程，明确业务环节，分析风险隐患，建立和完善了各项管理制度，并按照财政部门及主管部门的要求，加强对资金层面和业务层面的内部控制。相关人员在工作过程中能够严格遵守这些规章制度，实现内部控制体系全面、有效实施。</w:t>
      </w:r>
    </w:p>
    <w:p>
      <w:pPr>
        <w:spacing w:line="578" w:lineRule="exact"/>
        <w:ind w:firstLine="640" w:firstLineChars="200"/>
        <w:outlineLvl w:val="0"/>
        <w:rPr>
          <w:rFonts w:hint="eastAsia" w:ascii="楷体" w:hAnsi="楷体" w:eastAsia="楷体" w:cs="楷体"/>
          <w:bCs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highlight w:val="none"/>
          <w:lang w:eastAsia="zh-CN"/>
        </w:rPr>
        <w:t>（二）</w:t>
      </w:r>
      <w:r>
        <w:rPr>
          <w:rFonts w:hint="eastAsia" w:ascii="楷体" w:hAnsi="楷体" w:eastAsia="楷体" w:cs="楷体"/>
          <w:bCs/>
          <w:color w:val="000000"/>
          <w:sz w:val="32"/>
          <w:szCs w:val="32"/>
          <w:highlight w:val="none"/>
        </w:rPr>
        <w:t>项目管理情况分析</w:t>
      </w:r>
    </w:p>
    <w:p>
      <w:pPr>
        <w:spacing w:line="560" w:lineRule="exact"/>
        <w:ind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highlight w:val="none"/>
          <w:lang w:val="en-US" w:eastAsia="zh-CN"/>
        </w:rPr>
        <w:t>严格执行《业务会议议事规则》、《主任会议议事规则》等各项内控制度管理办法，做到依法审计、依规审计，多次召开审计中心业务会议，对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highlight w:val="none"/>
          <w:lang w:val="en-US" w:eastAsia="zh-CN"/>
        </w:rPr>
        <w:t>审计方案执行情况、审计报告质量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highlight w:val="none"/>
          <w:lang w:val="en-US" w:eastAsia="zh-CN"/>
        </w:rPr>
        <w:t>进行研究、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highlight w:val="none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78" w:lineRule="exact"/>
        <w:ind w:firstLine="640" w:firstLineChars="200"/>
        <w:outlineLvl w:val="0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四、项目绩效情况</w:t>
      </w:r>
    </w:p>
    <w:p>
      <w:pPr>
        <w:spacing w:line="578" w:lineRule="exact"/>
        <w:ind w:firstLine="640" w:firstLineChars="200"/>
        <w:outlineLvl w:val="0"/>
        <w:rPr>
          <w:rFonts w:hint="eastAsia" w:ascii="楷体" w:hAnsi="楷体" w:eastAsia="楷体" w:cs="楷体"/>
          <w:bCs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highlight w:val="none"/>
        </w:rPr>
        <w:t>（一）项目绩效目标完成情况分析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1.项目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的经济性分析</w:t>
      </w:r>
    </w:p>
    <w:p>
      <w:pPr>
        <w:numPr>
          <w:ilvl w:val="0"/>
          <w:numId w:val="0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highlight w:val="none"/>
          <w:lang w:val="en-US" w:eastAsia="zh-CN"/>
        </w:rPr>
        <w:t>2022年项目预算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highlight w:val="none"/>
          <w:lang w:val="en-US" w:eastAsia="zh-CN"/>
        </w:rPr>
        <w:t>资金59万元，支出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51.01万元，完成率86.46%，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其中工资福利支出49.03万元，商品和服务支出1.98万元。结余资金7.99万元。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项目实施过程中严格按照项目预算科目进行支付。</w:t>
      </w:r>
    </w:p>
    <w:p>
      <w:pPr>
        <w:numPr>
          <w:ilvl w:val="0"/>
          <w:numId w:val="0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2.项目的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eastAsia="zh-CN"/>
        </w:rPr>
        <w:t>效益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（1）项目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目标完成情况</w:t>
      </w:r>
    </w:p>
    <w:p>
      <w:pPr>
        <w:spacing w:line="578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2022年中心计划完成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审计项目和临时交办审计项目大于等于15个，实际完成27个，完成率180%；计划移送重大案件线索和事项数量大于等于3件，实际移送案件线索19件，完成率630%.审计人员被投诉率小于等于5%，实际投诉率为0。按时、足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保障了聘用及派遣人员工资社保公积金等工资福利支出。</w:t>
      </w:r>
    </w:p>
    <w:p>
      <w:pPr>
        <w:numPr>
          <w:ilvl w:val="0"/>
          <w:numId w:val="2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项目完成质量</w:t>
      </w:r>
    </w:p>
    <w:p>
      <w:pPr>
        <w:widowControl w:val="0"/>
        <w:numPr>
          <w:ilvl w:val="0"/>
          <w:numId w:val="0"/>
        </w:numPr>
        <w:spacing w:line="578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根据审计工作安排，由审计中心在编人员及聘用人员共同组成审计组，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完成</w:t>
      </w:r>
      <w:r>
        <w:rPr>
          <w:rFonts w:hint="eastAsia" w:ascii="FangSong_GB2312" w:hAnsi="FangSong_GB2312" w:eastAsia="FangSong_GB2312"/>
          <w:sz w:val="32"/>
          <w:highlight w:val="none"/>
        </w:rPr>
        <w:t>园区基础设施、城市路网</w:t>
      </w:r>
      <w:r>
        <w:rPr>
          <w:rFonts w:hint="eastAsia" w:ascii="FangSong_GB2312" w:hAnsi="FangSong_GB2312" w:eastAsia="FangSong_GB2312"/>
          <w:sz w:val="32"/>
          <w:highlight w:val="none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公共投资审计项目。</w:t>
      </w:r>
      <w:r>
        <w:rPr>
          <w:rFonts w:hint="eastAsia" w:ascii="FangSong_GB2312" w:hAnsi="FangSong_GB2312" w:eastAsia="FangSong_GB2312"/>
          <w:sz w:val="32"/>
          <w:highlight w:val="none"/>
        </w:rPr>
        <w:t>深挖招投标、合同履行、现场管理、造价控制等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问题217个，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发现问题金额1.68亿元，提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出审计建议55条，审减工程造价0.45亿元。报送审计要情（专报）2份，移送问题线索19宗。完成审计信息13份，市级以上采用5份。2个审计项目分别获评2022年度全市审计机关优秀审计项目二等奖、三等奖。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3. 项目的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有效性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分析</w:t>
      </w:r>
    </w:p>
    <w:p>
      <w:pPr>
        <w:numPr>
          <w:ilvl w:val="0"/>
          <w:numId w:val="0"/>
        </w:numPr>
        <w:spacing w:line="578" w:lineRule="exact"/>
        <w:ind w:firstLine="640" w:firstLineChars="200"/>
        <w:outlineLvl w:val="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整合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工程专业技术人员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资源，扩展审计监督的广度和深度，着力突破投资审计力量有限、内容局限、成效单一的发展瓶颈，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对重点项目进行跟踪监督,扩大投资审计覆盖面，提升监督合力，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逐步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消除监督盲区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4. 项目的可持续性分析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审计中心将聘用人员经费、委托业务费等列入财政预算。在实施审计项目过程中，人员工资福利费用、辅助审计技术服务均得到经费有效保障，项目完成效果甚好。通过对审计业务经费的有效保障、合理支出，全方位发挥公共投资项目审计监督力度。</w:t>
      </w:r>
    </w:p>
    <w:p>
      <w:pPr>
        <w:spacing w:line="578" w:lineRule="exact"/>
        <w:ind w:firstLine="640" w:firstLineChars="200"/>
        <w:outlineLvl w:val="0"/>
        <w:rPr>
          <w:rFonts w:hint="eastAsia" w:ascii="楷体" w:hAnsi="楷体" w:eastAsia="楷体" w:cs="楷体"/>
          <w:bCs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highlight w:val="none"/>
          <w:lang w:eastAsia="zh-CN"/>
        </w:rPr>
        <w:t>（二）</w:t>
      </w:r>
      <w:r>
        <w:rPr>
          <w:rFonts w:hint="eastAsia" w:ascii="楷体" w:hAnsi="楷体" w:eastAsia="楷体" w:cs="楷体"/>
          <w:bCs/>
          <w:color w:val="000000"/>
          <w:sz w:val="32"/>
          <w:szCs w:val="32"/>
          <w:highlight w:val="none"/>
        </w:rPr>
        <w:t>项目绩效目标未完成原因分析</w:t>
      </w:r>
    </w:p>
    <w:p>
      <w:pPr>
        <w:numPr>
          <w:ilvl w:val="0"/>
          <w:numId w:val="0"/>
        </w:numPr>
        <w:tabs>
          <w:tab w:val="left" w:pos="878"/>
        </w:tabs>
        <w:spacing w:line="578" w:lineRule="exact"/>
        <w:outlineLvl w:val="0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 xml:space="preserve">    2022年度项目绩效目标已完成。</w:t>
      </w:r>
    </w:p>
    <w:p>
      <w:pPr>
        <w:numPr>
          <w:ilvl w:val="0"/>
          <w:numId w:val="3"/>
        </w:numPr>
        <w:spacing w:line="578" w:lineRule="exact"/>
        <w:ind w:left="640" w:leftChars="0" w:firstLine="0" w:firstLineChars="0"/>
        <w:outlineLvl w:val="0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其他需说明的问题</w:t>
      </w:r>
    </w:p>
    <w:p>
      <w:pPr>
        <w:numPr>
          <w:ilvl w:val="0"/>
          <w:numId w:val="4"/>
        </w:numPr>
        <w:spacing w:line="578" w:lineRule="exact"/>
        <w:ind w:left="0" w:leftChars="0" w:firstLine="640" w:firstLineChars="200"/>
        <w:outlineLvl w:val="0"/>
        <w:rPr>
          <w:rFonts w:hint="eastAsia" w:ascii="楷体" w:hAnsi="楷体" w:eastAsia="楷体" w:cs="楷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highlight w:val="none"/>
          <w:lang w:val="en-US" w:eastAsia="zh-CN"/>
        </w:rPr>
        <w:t>后续工作计划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1.持续完善聘用人员实施政府投资项目审计的质量管理。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2.持续做好人员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工资社保公积金等工资福利支出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4"/>
        </w:numPr>
        <w:spacing w:line="578" w:lineRule="exact"/>
        <w:ind w:left="0" w:leftChars="0" w:firstLine="640" w:firstLineChars="200"/>
        <w:outlineLvl w:val="0"/>
        <w:rPr>
          <w:rFonts w:hint="default" w:ascii="楷体" w:hAnsi="楷体" w:eastAsia="楷体" w:cs="楷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楷体" w:hAnsi="楷体" w:eastAsia="楷体" w:cs="楷体"/>
          <w:kern w:val="0"/>
          <w:sz w:val="32"/>
          <w:szCs w:val="32"/>
          <w:highlight w:val="none"/>
          <w:lang w:val="en-US" w:eastAsia="zh-CN"/>
        </w:rPr>
        <w:t>主要经验及做法、存在问题和建议</w:t>
      </w:r>
    </w:p>
    <w:p>
      <w:pPr>
        <w:numPr>
          <w:ilvl w:val="0"/>
          <w:numId w:val="0"/>
        </w:numPr>
        <w:spacing w:line="578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2022年审计中心通过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加强领导、完善制度、加强督促检查，不断强化项目资金管理，确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保各项工作实施顺利并取得显著成效。但由于目前公共投资审计任务重、人手少，审计全覆盖的要求与现有审力不足之间，审计队伍专业能力与审计工作新要求之间均存在不同差距，我单位需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引导审计人员拓宽学习培训内容，加强与省审计厅及其他市县审计部门业务交流，以审代学、以审代训，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因此我单位仍需加大审计业务资金保障力度，以提高审计效率。</w:t>
      </w:r>
    </w:p>
    <w:p>
      <w:pPr>
        <w:rPr>
          <w:highlight w:val="none"/>
        </w:rPr>
      </w:pPr>
    </w:p>
    <w:bookmarkEnd w:id="2"/>
    <w:sectPr>
      <w:pgSz w:w="11906" w:h="16838"/>
      <w:pgMar w:top="2098" w:right="1587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EBD3"/>
    <w:multiLevelType w:val="singleLevel"/>
    <w:tmpl w:val="0DD0EBD3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21D83A1F"/>
    <w:multiLevelType w:val="singleLevel"/>
    <w:tmpl w:val="21D83A1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BAE585D"/>
    <w:multiLevelType w:val="singleLevel"/>
    <w:tmpl w:val="2BAE585D"/>
    <w:lvl w:ilvl="0" w:tentative="0">
      <w:start w:val="5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abstractNum w:abstractNumId="3">
    <w:nsid w:val="2ECABF20"/>
    <w:multiLevelType w:val="singleLevel"/>
    <w:tmpl w:val="2ECABF2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35C1"/>
    <w:rsid w:val="052C54EA"/>
    <w:rsid w:val="07C83E48"/>
    <w:rsid w:val="1528682A"/>
    <w:rsid w:val="17773ED4"/>
    <w:rsid w:val="1E6C4137"/>
    <w:rsid w:val="215C15D6"/>
    <w:rsid w:val="233E7BC0"/>
    <w:rsid w:val="245E648E"/>
    <w:rsid w:val="26E02601"/>
    <w:rsid w:val="2EE9225F"/>
    <w:rsid w:val="311355EC"/>
    <w:rsid w:val="35AF71C7"/>
    <w:rsid w:val="3EF51BE7"/>
    <w:rsid w:val="3FFA3AB0"/>
    <w:rsid w:val="401C514D"/>
    <w:rsid w:val="463F3DA2"/>
    <w:rsid w:val="479E7416"/>
    <w:rsid w:val="49D27C6B"/>
    <w:rsid w:val="4B2158CA"/>
    <w:rsid w:val="5CE611BB"/>
    <w:rsid w:val="6D937540"/>
    <w:rsid w:val="6FB835C1"/>
    <w:rsid w:val="70AF2E98"/>
    <w:rsid w:val="712C6351"/>
    <w:rsid w:val="721260A1"/>
    <w:rsid w:val="735D6962"/>
    <w:rsid w:val="BF979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Normal (Web)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2023-06-29T08:53:00Z</dcterms:created>
  <dc:creator>陈春平</dc:creator>
  <cp:lastModifiedBy>林明龙</cp:lastModifiedBy>
  <dcterms:modified xsi:type="dcterms:W3CDTF">2023-06-29T23:38:54Z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2052-11.8.2.8625</vt:lpwstr>
  </property>
</Properties>
</file>