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项目支出绩效自评表</w:t>
      </w:r>
    </w:p>
    <w:p>
      <w:pPr>
        <w:spacing w:line="490" w:lineRule="exact"/>
        <w:jc w:val="center"/>
        <w:rPr>
          <w:rFonts w:hint="eastAsia" w:ascii="楷体_GB2312" w:hAnsi="黑体" w:eastAsia="楷体_GB2312"/>
          <w:szCs w:val="32"/>
        </w:rPr>
      </w:pPr>
      <w:r>
        <w:rPr>
          <w:rFonts w:hint="eastAsia" w:ascii="楷体_GB2312" w:hAnsi="宋体" w:eastAsia="楷体_GB2312" w:cs="宋体"/>
          <w:kern w:val="0"/>
          <w:szCs w:val="32"/>
        </w:rPr>
        <w:t>（</w:t>
      </w:r>
      <w:r>
        <w:rPr>
          <w:rFonts w:hint="eastAsia" w:ascii="楷体_GB2312" w:hAnsi="宋体" w:eastAsia="楷体_GB2312" w:cs="宋体"/>
          <w:kern w:val="0"/>
          <w:szCs w:val="32"/>
          <w:lang w:val="en-US" w:eastAsia="zh-CN"/>
        </w:rPr>
        <w:t>2023</w:t>
      </w:r>
      <w:r>
        <w:rPr>
          <w:rFonts w:hint="eastAsia" w:ascii="楷体_GB2312" w:hAnsi="宋体" w:eastAsia="楷体_GB2312" w:cs="宋体"/>
          <w:kern w:val="0"/>
          <w:szCs w:val="32"/>
        </w:rPr>
        <w:t>年度）</w:t>
      </w:r>
    </w:p>
    <w:tbl>
      <w:tblPr>
        <w:tblStyle w:val="2"/>
        <w:tblW w:w="90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250"/>
        <w:gridCol w:w="592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审计业务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海口市审计局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海口市审计局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458.03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412.16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410.97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377"/>
                <w:tab w:val="left" w:pos="548"/>
              </w:tabs>
              <w:spacing w:line="200" w:lineRule="exact"/>
              <w:ind w:firstLine="180" w:firstLineChars="100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99.71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458.03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412.16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410.97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99.71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000000"/>
                <w:spacing w:val="0"/>
                <w:sz w:val="19"/>
                <w:szCs w:val="19"/>
                <w:shd w:val="clear" w:fill="F5F5F5"/>
              </w:rPr>
              <w:t>完成年度计划内审计项目和临时交办审计项目,出具审计报告，在法定职权范围内作出审计决定；被审计单位根据审计建议建立健全规章制度。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完成预期目标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Segoe UI" w:hAnsi="Segoe UI" w:eastAsia="Segoe UI" w:cs="Segoe UI"/>
                <w:i w:val="0"/>
                <w:caps w:val="0"/>
                <w:color w:val="000000"/>
                <w:spacing w:val="0"/>
                <w:sz w:val="18"/>
                <w:szCs w:val="18"/>
                <w:shd w:val="clear" w:fill="FAFAFA"/>
              </w:rPr>
              <w:t>完成年度计划审计项目和临时交办审计项目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  <w:lang w:eastAsia="zh-CN"/>
              </w:rPr>
              <w:t>效益指标</w:t>
            </w:r>
          </w:p>
        </w:tc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</w:rPr>
              <w:t>社会效益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</w:rPr>
              <w:t>指标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897"/>
              </w:tabs>
              <w:spacing w:line="200" w:lineRule="exact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Segoe UI" w:hAnsi="Segoe UI" w:eastAsia="Segoe UI" w:cs="Segoe UI"/>
                <w:i w:val="0"/>
                <w:caps w:val="0"/>
                <w:color w:val="FF0000"/>
                <w:spacing w:val="0"/>
                <w:sz w:val="18"/>
                <w:szCs w:val="18"/>
                <w:highlight w:val="yellow"/>
                <w:shd w:val="clear" w:fill="FAFAFA"/>
                <w:lang w:val="en-US" w:eastAsia="zh-CN"/>
              </w:rPr>
              <w:t>被审计单位根据审计建议建立健全规章制度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  <w:t>？？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highlight w:val="yellow"/>
                <w:lang w:val="en-US" w:eastAsia="zh-CN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 xml:space="preserve"> </w:t>
      </w:r>
    </w:p>
    <w:p>
      <w:pPr>
        <w:rPr>
          <w:rFonts w:hint="eastAsia" w:ascii="楷体" w:hAnsi="楷体" w:eastAsia="楷体" w:cs="楷体"/>
          <w:color w:val="FF0000"/>
          <w:sz w:val="28"/>
          <w:szCs w:val="28"/>
        </w:rPr>
      </w:pPr>
    </w:p>
    <w:p>
      <w:pPr>
        <w:rPr>
          <w:rFonts w:hint="eastAsia" w:ascii="楷体" w:hAnsi="楷体" w:eastAsia="楷体" w:cs="楷体"/>
          <w:sz w:val="28"/>
          <w:szCs w:val="28"/>
          <w:lang w:eastAsia="zh-CN"/>
        </w:rPr>
      </w:pPr>
    </w:p>
    <w:p>
      <w:pPr>
        <w:spacing w:line="4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项目支出绩效评价指标体系</w:t>
      </w:r>
    </w:p>
    <w:p>
      <w:pPr>
        <w:spacing w:line="49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</w:p>
    <w:tbl>
      <w:tblPr>
        <w:tblStyle w:val="2"/>
        <w:tblW w:w="8763" w:type="dxa"/>
        <w:jc w:val="center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28"/>
        <w:gridCol w:w="1325"/>
        <w:gridCol w:w="830"/>
        <w:gridCol w:w="1770"/>
        <w:gridCol w:w="791"/>
        <w:gridCol w:w="1740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资金到位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到位率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highlight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到位时效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99</w:t>
            </w:r>
          </w:p>
        </w:tc>
      </w:tr>
    </w:tbl>
    <w:p>
      <w:pPr>
        <w:spacing w:line="578" w:lineRule="exact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财政支出项目绩效评价报告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宋体" w:hAnsi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--审计业务项目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（一）项目基本性质、用途和主要内容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eastAsia="zh-CN"/>
        </w:rPr>
        <w:t>审计业务项目主要用于开展审计工作、审计监督和专项审计调查，审力不足时，通过政府购买服务，聘请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eastAsia="zh-CN"/>
        </w:rPr>
        <w:t>协审机构（协审人员）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eastAsia="zh-CN"/>
        </w:rPr>
        <w:t>协助参与审计，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我局对其承办的审计业务质量进行监督检查，并支付相应的劳务费或委托审计业务费。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（二）项目绩效目标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总体目标：完成年度计划内审计项目和临时交办审计项目,出具审计报告，在法定职权范围内作出审计决定；被审计单位根据审计建议建立健全规章制度。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eastAsia="zh-CN"/>
        </w:rPr>
        <w:t>具体设定一是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val="en-US" w:eastAsia="zh-CN"/>
        </w:rPr>
        <w:t>产出指标-数量指标：完成年度计划审计项目和临时交办审计项目大于等于40个（正向指标）；二是效益指标-社会效益指标：被审计单位根据审计建议建立健全规章制度大于等于10项（正向指标）。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二、项目资金使用及管理情况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（一）项目资金到位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及</w:t>
      </w:r>
      <w:r>
        <w:rPr>
          <w:rFonts w:hint="eastAsia" w:ascii="楷体" w:hAnsi="楷体" w:eastAsia="楷体" w:cs="楷体"/>
          <w:sz w:val="32"/>
          <w:szCs w:val="32"/>
        </w:rPr>
        <w:t>使用情况分析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审计业务项目2022年年初预算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458.03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万元，预算调整为412.16万元，上述项目资金在当年已由市财政局下达到市审计局，共计412.16万元，支出410.97万元，资金结余1.19万元。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项目资金管理情况分析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val="en-US" w:eastAsia="zh-CN"/>
        </w:rPr>
        <w:t>我局</w:t>
      </w:r>
      <w:r>
        <w:rPr>
          <w:rFonts w:hint="eastAsia" w:ascii="FangSong_GB2312" w:hAnsi="FangSong_GB2312" w:eastAsia="FangSong_GB2312"/>
          <w:sz w:val="32"/>
        </w:rPr>
        <w:t>按照审计署和省审计厅的工作部署</w:t>
      </w:r>
      <w:r>
        <w:rPr>
          <w:rFonts w:hint="eastAsia" w:ascii="FangSong_GB2312" w:hAnsi="FangSong_GB2312" w:eastAsia="FangSong_GB2312"/>
          <w:sz w:val="32"/>
          <w:lang w:eastAsia="zh-CN"/>
        </w:rPr>
        <w:t>，</w:t>
      </w:r>
      <w:r>
        <w:rPr>
          <w:rFonts w:hint="eastAsia" w:ascii="FangSong_GB2312" w:hAnsi="FangSong_GB2312" w:eastAsia="FangSong_GB2312"/>
          <w:sz w:val="32"/>
        </w:rPr>
        <w:t>聚焦海南自由贸易港建设相关政策落实、财政资金使用绩效、生态环境建设、重大风险防控、重要民生事项、公共工程等经济社会发展重点，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val="en-US" w:eastAsia="zh-CN"/>
        </w:rPr>
        <w:t>制定年度审计项目计划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，根据</w:t>
      </w:r>
      <w:r>
        <w:rPr>
          <w:rFonts w:hint="eastAsia" w:ascii="FangSong_GB2312" w:hAnsi="FangSong_GB2312" w:eastAsia="FangSong_GB2312"/>
          <w:sz w:val="32"/>
        </w:rPr>
        <w:t>审力资源情况</w:t>
      </w:r>
      <w:r>
        <w:rPr>
          <w:rFonts w:hint="eastAsia" w:ascii="FangSong_GB2312" w:hAnsi="FangSong_GB2312" w:eastAsia="FangSong_GB2312"/>
          <w:sz w:val="32"/>
          <w:lang w:eastAsia="zh-CN"/>
        </w:rPr>
        <w:t>，征询业务科室及下属单位工程项目审计中心业务需求，合理编制审计业务项目预算，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确保了购买服务项目顺利实施，并取得了明显的效果。项目资金拨付严格审批程序，使用规范，会计核算结果真实、准确，审计业务项目有效运行。此次绩效评价过程中未发现有截留、挤占或挪用项目资金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（一）项目组织情况分析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eastAsia="zh-CN"/>
        </w:rPr>
        <w:t>根据审计计划及审力安排，由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</w:rPr>
        <w:t>我局内设机构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eastAsia="zh-CN"/>
        </w:rPr>
        <w:t>各业务科室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</w:rPr>
        <w:t>和下属单位海口市工程项目审计中心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eastAsia="zh-CN"/>
        </w:rPr>
        <w:t>根据项目需求提出购买协审机构（协审人员）服务申请，经报批发布邀请，确定中标单位后签订《聘请专业技术人员合同》开展工作。各业务科室和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</w:rPr>
        <w:t>海口市工程项目审计中心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eastAsia="zh-CN"/>
        </w:rPr>
        <w:t>负责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</w:rPr>
        <w:t>按合同约定对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eastAsia="zh-CN"/>
        </w:rPr>
        <w:t>服务内容进行监督、审核，并对审计成果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</w:rPr>
        <w:t>进行复核，提出审计意见。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项目管理情况分析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val="en-US" w:eastAsia="zh-CN"/>
        </w:rPr>
        <w:t>根据我局制定的《海口市审计局购买协审服务实施办法》（海审办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highlight w:val="yellow"/>
          <w:lang w:val="en-US" w:eastAsia="zh-CN"/>
        </w:rPr>
        <w:t>﹝</w:t>
      </w:r>
      <w:r>
        <w:rPr>
          <w:rFonts w:hint="eastAsia" w:ascii="宋体" w:hAnsi="宋体" w:cs="宋体"/>
          <w:bCs/>
          <w:color w:val="000000"/>
          <w:sz w:val="32"/>
          <w:szCs w:val="32"/>
          <w:highlight w:val="yellow"/>
          <w:lang w:val="en-US" w:eastAsia="zh-CN"/>
        </w:rPr>
        <w:t>2020</w:t>
      </w:r>
      <w:r>
        <w:rPr>
          <w:rFonts w:hint="eastAsia" w:ascii="宋体" w:hAnsi="宋体" w:eastAsia="宋体" w:cs="宋体"/>
          <w:bCs/>
          <w:color w:val="000000"/>
          <w:sz w:val="32"/>
          <w:szCs w:val="32"/>
          <w:highlight w:val="yellow"/>
          <w:lang w:val="en-US" w:eastAsia="zh-CN"/>
        </w:rPr>
        <w:t>﹞</w:t>
      </w:r>
      <w:r>
        <w:rPr>
          <w:rFonts w:hint="eastAsia" w:ascii="宋体" w:hAnsi="宋体" w:cs="宋体"/>
          <w:bCs/>
          <w:color w:val="000000"/>
          <w:sz w:val="32"/>
          <w:szCs w:val="32"/>
          <w:highlight w:val="yellow"/>
          <w:lang w:val="en-US" w:eastAsia="zh-CN"/>
        </w:rPr>
        <w:t>78号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val="en-US" w:eastAsia="zh-CN"/>
        </w:rPr>
        <w:t>）（以下简称《实施办法》）加强购买协审服务的监督检查。对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eastAsia="zh-CN"/>
        </w:rPr>
        <w:t>协审机构（协审人员）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val="en-US" w:eastAsia="zh-CN"/>
        </w:rPr>
        <w:t>的审计结果进行监督检查，主要考核协审人员在岗履职情况、审计方案执行情况、审计流程遵守情况、审计查出问题数量及质量情况、廉政情况等方面。对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eastAsia="zh-CN"/>
        </w:rPr>
        <w:t>协审机构（协审人员）出现《实施办法》中第二十条、第二十一条、第二十二条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yellow"/>
          <w:lang w:val="en-US" w:eastAsia="zh-CN"/>
        </w:rPr>
        <w:t>的情形，我局有权依法追究违约责任或在职权范围内做出处理、处罚，或移送相关行业主管部门依法进行处理，并向全市审计系统通报，构成犯罪的移送司法机关追究刑事责任。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（一）项目绩效目标完成情况分析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2022年年初预算458.03万元，根据市委市政府过好“紧日子”要求，预算调整为412.16万元，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当年支出410.97万元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，完成率99.71%。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项目实施过程中严格按照项目预算科目进行支付。</w:t>
      </w:r>
    </w:p>
    <w:p>
      <w:pPr>
        <w:keepNext w:val="0"/>
        <w:keepLines w:val="0"/>
        <w:pageBreakBefore w:val="0"/>
        <w:widowControl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（1）项目目标完成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2022年我局计划完成40个审计项目，实际完成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个审计项目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，完成率117.5%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被审计单位根据审计建议建立健全规章制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yellow"/>
          <w:lang w:val="en-US" w:eastAsia="zh-CN"/>
        </w:rPr>
        <w:t>度？？项</w:t>
      </w:r>
      <w:r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highlight w:val="green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根据项目设定目标，细化任务明细，合理配置资源，建立项目质量管理等制度，确保了审计业务整个项目的质量，项目完成质量较好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。2022年度，我局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共完成审计项目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47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个，发现问题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506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个，涉及问题金额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31.07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亿元，提出审计建议1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hAnsi="黑体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条，报送审计要情（专报）9份，移送问题线索3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0</w:t>
      </w:r>
      <w:r>
        <w:rPr>
          <w:rFonts w:hint="eastAsia" w:ascii="仿宋_GB2312" w:hAnsi="黑体" w:eastAsia="仿宋_GB2312"/>
          <w:sz w:val="32"/>
          <w:szCs w:val="32"/>
          <w:highlight w:val="none"/>
        </w:rPr>
        <w:t>宗</w:t>
      </w:r>
      <w:r>
        <w:rPr>
          <w:rFonts w:hint="eastAsia" w:ascii="仿宋_GB2312" w:hAnsi="黑体" w:eastAsia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有效性</w:t>
      </w:r>
      <w:r>
        <w:rPr>
          <w:rFonts w:hint="eastAsia" w:ascii="仿宋_GB2312" w:hAnsi="仿宋_GB2312" w:eastAsia="仿宋_GB2312" w:cs="仿宋_GB2312"/>
          <w:sz w:val="32"/>
          <w:szCs w:val="32"/>
        </w:rPr>
        <w:t>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的顺利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使审计力量得到有效支持，审计人员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依法履行审计监督职责，发挥预防、揭示风险隐患的“免疫系统”功能，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确保财政资金合法、高效运转，提高财政资金使用效益，防止投资项目建设资金损失浪费。</w:t>
      </w:r>
      <w:r>
        <w:rPr>
          <w:rFonts w:hint="eastAsia" w:ascii="FangSong_GB2312" w:hAnsi="FangSong_GB2312" w:eastAsia="FangSong_GB2312"/>
          <w:sz w:val="32"/>
        </w:rPr>
        <w:t>注重从体制机制制度层面揭示问题，提出建议，以空前力度抓审计整改，促进重大政策和项目落地见效，促进财政资金提质增效，促进被审计单位治理效能提升，促进权力规范运行。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4. 项目的可持续性分析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  <w:lang w:val="en-US" w:eastAsia="zh-CN"/>
        </w:rPr>
        <w:t>我局将项目经费、委托业务费、聘用人员经费等费用列入2022年度财政项目预算。在实施审计项目的过程中相关经费得到有效保障，项目完成效果较好，通过对经费的有效保障和合理支出，较好发挥了审计监督作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Cs/>
          <w:color w:val="000000"/>
          <w:sz w:val="32"/>
          <w:szCs w:val="32"/>
        </w:rPr>
        <w:t>项目绩效目标未完成</w:t>
      </w:r>
      <w:r>
        <w:rPr>
          <w:rFonts w:hint="eastAsia" w:ascii="楷体" w:hAnsi="楷体" w:eastAsia="楷体" w:cs="楷体"/>
          <w:bCs/>
          <w:color w:val="000000"/>
          <w:sz w:val="32"/>
          <w:szCs w:val="32"/>
          <w:lang w:eastAsia="zh-CN"/>
        </w:rPr>
        <w:t>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2022年度项目绩效目标已完成。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五、其他需要说明的问题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（一）后续工作计划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1.持续完善措施强化政府投资项目委托审计质量控制。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2.统筹做好审计业务项目安排。重点保障</w:t>
      </w:r>
      <w:r>
        <w:rPr>
          <w:rFonts w:hint="eastAsia" w:ascii="FangSong_GB2312" w:hAnsi="FangSong_GB2312" w:eastAsia="FangSong_GB2312"/>
          <w:sz w:val="32"/>
        </w:rPr>
        <w:t>财政资金使用绩效、生态环境建设、重大风险防控、重要民生事项、公共工程等经济社会发展重点</w:t>
      </w:r>
      <w:r>
        <w:rPr>
          <w:rFonts w:hint="eastAsia" w:ascii="FangSong_GB2312" w:hAnsi="FangSong_GB2312" w:eastAsia="FangSong_GB2312"/>
          <w:sz w:val="32"/>
          <w:lang w:eastAsia="zh-CN"/>
        </w:rPr>
        <w:t>的审计项目购买服务需求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（二）主要经验及做法、存在问题和建议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2022年我单位已完成 47 个审计项目。审计业务设定绩效目标明确，资金按照开展进度和需求进行了合理分配，资金使用不存在支出依据不合规、虚列项目支出的情况。我单位坚持问题导向，科学制定审计计划，合理购买协审服务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  <w:t>近年随着海南自贸港建设力度不断增大，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yellow"/>
          <w:lang w:val="en-US" w:eastAsia="zh-CN"/>
        </w:rPr>
        <w:t>审计全覆盖的要求与现有紧缺的审计资源、审计工作新要求与审计人员专业能力等方面均存在不同差距，为了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lang w:val="en-US" w:eastAsia="zh-CN"/>
        </w:rPr>
        <w:t>对违反国家财经纪律的易发、高发、多发领域加强审计监督，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yellow"/>
          <w:lang w:eastAsia="zh-CN"/>
        </w:rPr>
        <w:t>因此我单位仍需加大审计业务资金保障力度，以提高审计效率。</w:t>
      </w:r>
      <w:bookmarkStart w:id="0" w:name="_GoBack"/>
      <w:bookmarkEnd w:id="0"/>
    </w:p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526233277+ZDAAjP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3851DF"/>
    <w:multiLevelType w:val="singleLevel"/>
    <w:tmpl w:val="883851DF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A22E6"/>
    <w:rsid w:val="095004D5"/>
    <w:rsid w:val="0C1A17CA"/>
    <w:rsid w:val="0CE22F77"/>
    <w:rsid w:val="104F638C"/>
    <w:rsid w:val="115223BB"/>
    <w:rsid w:val="12433028"/>
    <w:rsid w:val="18F00BD4"/>
    <w:rsid w:val="199A1F76"/>
    <w:rsid w:val="19F53E08"/>
    <w:rsid w:val="1C2F2A35"/>
    <w:rsid w:val="1D0141FB"/>
    <w:rsid w:val="1FCB74C7"/>
    <w:rsid w:val="202B0E5C"/>
    <w:rsid w:val="212B6090"/>
    <w:rsid w:val="21472A6A"/>
    <w:rsid w:val="214D31F6"/>
    <w:rsid w:val="23086265"/>
    <w:rsid w:val="259432D3"/>
    <w:rsid w:val="27BB5EC3"/>
    <w:rsid w:val="28442410"/>
    <w:rsid w:val="28516D01"/>
    <w:rsid w:val="286622D2"/>
    <w:rsid w:val="32E4224C"/>
    <w:rsid w:val="34450B3B"/>
    <w:rsid w:val="35C05402"/>
    <w:rsid w:val="35CB6EF4"/>
    <w:rsid w:val="362B4E13"/>
    <w:rsid w:val="36711FE5"/>
    <w:rsid w:val="375E2DB9"/>
    <w:rsid w:val="38BD3B2E"/>
    <w:rsid w:val="39A66FFF"/>
    <w:rsid w:val="3A2905DE"/>
    <w:rsid w:val="3AEF524C"/>
    <w:rsid w:val="3D1D1E67"/>
    <w:rsid w:val="3F16477C"/>
    <w:rsid w:val="408B46FC"/>
    <w:rsid w:val="40BE70DA"/>
    <w:rsid w:val="4400059A"/>
    <w:rsid w:val="44C80F64"/>
    <w:rsid w:val="48D03C17"/>
    <w:rsid w:val="4B4800BA"/>
    <w:rsid w:val="4EAF4FFC"/>
    <w:rsid w:val="4ED825F0"/>
    <w:rsid w:val="4EDC49AB"/>
    <w:rsid w:val="5013043C"/>
    <w:rsid w:val="515C040B"/>
    <w:rsid w:val="53240DEA"/>
    <w:rsid w:val="58D04C1B"/>
    <w:rsid w:val="5B09429D"/>
    <w:rsid w:val="5B4A0F3E"/>
    <w:rsid w:val="5FEB266C"/>
    <w:rsid w:val="615C61EF"/>
    <w:rsid w:val="618F1A24"/>
    <w:rsid w:val="64440F55"/>
    <w:rsid w:val="64577510"/>
    <w:rsid w:val="6562798E"/>
    <w:rsid w:val="6599407C"/>
    <w:rsid w:val="65FA4720"/>
    <w:rsid w:val="698D1C23"/>
    <w:rsid w:val="6A542620"/>
    <w:rsid w:val="6E1A4CD7"/>
    <w:rsid w:val="6EBD6195"/>
    <w:rsid w:val="701D6625"/>
    <w:rsid w:val="7A8D75D5"/>
    <w:rsid w:val="7C5B5346"/>
    <w:rsid w:val="7CAC1743"/>
    <w:rsid w:val="7FC21D12"/>
    <w:rsid w:val="FDFF2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2019-06-17T09:35:00Z</dcterms:created>
  <dc:creator>JDJ</dc:creator>
  <cp:lastModifiedBy>李薇薇</cp:lastModifiedBy>
  <dcterms:modified xsi:type="dcterms:W3CDTF">2023-06-29T15:18:39Z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