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pacing w:val="-20"/>
          <w:sz w:val="32"/>
          <w:szCs w:val="32"/>
          <w:u w:val="single"/>
        </w:rPr>
        <w:sym w:font="Wingdings 2" w:char="0052"/>
      </w:r>
      <w:r>
        <w:rPr>
          <w:rFonts w:hint="eastAsia" w:ascii="仿宋_GB2312" w:hAnsi="仿宋_GB2312" w:eastAsia="仿宋_GB2312" w:cs="仿宋_GB2312"/>
          <w:b/>
          <w:bCs/>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审计业务</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海口市工程项目审计中心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海口市审计局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 xml:space="preserve"> 1</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日至</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 xml:space="preserve"> 年</w:t>
      </w:r>
      <w:r>
        <w:rPr>
          <w:rFonts w:hint="eastAsia" w:ascii="仿宋_GB2312" w:hAnsi="仿宋_GB2312" w:eastAsia="仿宋_GB2312" w:cs="仿宋_GB2312"/>
          <w:sz w:val="32"/>
          <w:szCs w:val="32"/>
          <w:u w:val="single"/>
          <w:lang w:val="en-US" w:eastAsia="zh-CN"/>
        </w:rPr>
        <w:t xml:space="preserve"> 12</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 xml:space="preserve"> 31</w:t>
      </w:r>
      <w:r>
        <w:rPr>
          <w:rFonts w:hint="eastAsia" w:ascii="仿宋_GB2312" w:hAnsi="仿宋_GB2312" w:eastAsia="仿宋_GB2312" w:cs="仿宋_GB2312"/>
          <w:sz w:val="32"/>
          <w:szCs w:val="32"/>
          <w:u w:val="single"/>
        </w:rPr>
        <w:t>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pacing w:val="-20"/>
          <w:sz w:val="32"/>
          <w:szCs w:val="32"/>
          <w:u w:val="single"/>
        </w:rPr>
        <w:sym w:font="Wingdings 2" w:char="0052"/>
      </w:r>
      <w:r>
        <w:rPr>
          <w:rFonts w:hint="eastAsia" w:ascii="仿宋_GB2312" w:hAnsi="仿宋_GB2312" w:eastAsia="仿宋_GB2312" w:cs="仿宋_GB2312"/>
          <w:b/>
          <w:bCs/>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pacing w:val="-20"/>
          <w:sz w:val="32"/>
          <w:szCs w:val="32"/>
          <w:u w:val="single"/>
        </w:rPr>
        <w:sym w:font="Wingdings 2" w:char="0052"/>
      </w:r>
      <w:r>
        <w:rPr>
          <w:rFonts w:hint="eastAsia" w:ascii="仿宋_GB2312" w:hAnsi="仿宋_GB2312" w:eastAsia="仿宋_GB2312" w:cs="仿宋_GB2312"/>
          <w:b/>
          <w:bCs/>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评价单位（盖章）：</w:t>
      </w:r>
      <w:r>
        <w:rPr>
          <w:rFonts w:hint="eastAsia" w:ascii="仿宋_GB2312" w:hAnsi="仿宋_GB2312" w:eastAsia="仿宋_GB2312" w:cs="仿宋_GB2312"/>
          <w:sz w:val="32"/>
          <w:szCs w:val="32"/>
          <w:lang w:eastAsia="zh-CN"/>
        </w:rPr>
        <w:t>海口市工程项目审计中心</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上报时间：</w:t>
      </w:r>
      <w:r>
        <w:rPr>
          <w:rFonts w:hint="eastAsia" w:ascii="仿宋_GB2312" w:hAnsi="仿宋_GB2312" w:eastAsia="仿宋_GB2312" w:cs="仿宋_GB2312"/>
          <w:sz w:val="32"/>
          <w:szCs w:val="32"/>
          <w:lang w:val="en-US" w:eastAsia="zh-CN"/>
        </w:rPr>
        <w:t>2021年4月15日</w:t>
      </w:r>
    </w:p>
    <w:p/>
    <w:p/>
    <w:p/>
    <w:p>
      <w:pPr>
        <w:tabs>
          <w:tab w:val="left" w:pos="720"/>
          <w:tab w:val="left" w:pos="3600"/>
        </w:tabs>
        <w:spacing w:line="578" w:lineRule="exact"/>
        <w:jc w:val="left"/>
        <w:rPr>
          <w:rFonts w:hint="eastAsia" w:hAnsi="仿宋_GB2312" w:cs="仿宋_GB2312"/>
          <w:b/>
          <w:bCs/>
          <w:szCs w:val="32"/>
        </w:rPr>
      </w:pPr>
    </w:p>
    <w:p>
      <w:pPr>
        <w:pStyle w:val="5"/>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rPr>
      </w:pPr>
      <w:r>
        <w:rPr>
          <w:rFonts w:hint="eastAsia" w:ascii="宋体" w:hAnsi="宋体" w:eastAsia="宋体"/>
          <w:b/>
          <w:bCs/>
          <w:sz w:val="24"/>
        </w:rPr>
        <w:t>项目名称：</w:t>
      </w:r>
      <w:r>
        <w:rPr>
          <w:rFonts w:hint="eastAsia" w:ascii="宋体" w:hAnsi="宋体"/>
          <w:b/>
          <w:bCs/>
          <w:sz w:val="24"/>
          <w:lang w:eastAsia="zh-CN"/>
        </w:rPr>
        <w:t>审计业务（公共投资项目审计）</w:t>
      </w:r>
    </w:p>
    <w:tbl>
      <w:tblPr>
        <w:tblStyle w:val="3"/>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90"/>
        <w:gridCol w:w="2073"/>
        <w:gridCol w:w="1077"/>
        <w:gridCol w:w="855"/>
        <w:gridCol w:w="88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指标类型</w:t>
            </w:r>
          </w:p>
        </w:tc>
        <w:tc>
          <w:tcPr>
            <w:tcW w:w="1590"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指标名称</w:t>
            </w:r>
          </w:p>
        </w:tc>
        <w:tc>
          <w:tcPr>
            <w:tcW w:w="2073"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绩效目标</w:t>
            </w:r>
          </w:p>
        </w:tc>
        <w:tc>
          <w:tcPr>
            <w:tcW w:w="3742" w:type="dxa"/>
            <w:gridSpan w:val="4"/>
            <w:vAlign w:val="top"/>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590"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2073"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077"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优</w:t>
            </w:r>
          </w:p>
        </w:tc>
        <w:tc>
          <w:tcPr>
            <w:tcW w:w="855"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良</w:t>
            </w:r>
          </w:p>
        </w:tc>
        <w:tc>
          <w:tcPr>
            <w:tcW w:w="885"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中</w:t>
            </w:r>
          </w:p>
        </w:tc>
        <w:tc>
          <w:tcPr>
            <w:tcW w:w="925"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vAlign w:val="center"/>
          </w:tcPr>
          <w:p>
            <w:pPr>
              <w:tabs>
                <w:tab w:val="left" w:pos="720"/>
                <w:tab w:val="left" w:pos="3600"/>
              </w:tabs>
              <w:spacing w:line="480" w:lineRule="auto"/>
              <w:jc w:val="center"/>
              <w:rPr>
                <w:rFonts w:hint="eastAsia" w:ascii="宋体" w:hAnsi="宋体" w:eastAsia="宋体"/>
                <w:sz w:val="21"/>
                <w:szCs w:val="21"/>
              </w:rPr>
            </w:pPr>
            <w:r>
              <w:rPr>
                <w:rFonts w:hint="eastAsia" w:ascii="宋体" w:hAnsi="宋体" w:eastAsia="宋体"/>
                <w:sz w:val="21"/>
                <w:szCs w:val="21"/>
              </w:rPr>
              <w:t>产出指标</w:t>
            </w:r>
          </w:p>
        </w:tc>
        <w:tc>
          <w:tcPr>
            <w:tcW w:w="1590" w:type="dxa"/>
            <w:vAlign w:val="center"/>
          </w:tcPr>
          <w:p>
            <w:pPr>
              <w:tabs>
                <w:tab w:val="center" w:pos="706"/>
                <w:tab w:val="left" w:pos="3600"/>
              </w:tabs>
              <w:spacing w:line="480" w:lineRule="auto"/>
              <w:jc w:val="center"/>
              <w:rPr>
                <w:rFonts w:hint="eastAsia" w:ascii="宋体" w:hAnsi="宋体" w:eastAsia="宋体"/>
                <w:sz w:val="21"/>
                <w:szCs w:val="21"/>
              </w:rPr>
            </w:pPr>
            <w:r>
              <w:rPr>
                <w:rFonts w:hint="eastAsia" w:ascii="宋体" w:hAnsi="宋体" w:cs="Times New Roman"/>
                <w:sz w:val="21"/>
                <w:szCs w:val="21"/>
                <w:lang w:eastAsia="zh-CN"/>
              </w:rPr>
              <w:t>数量指标</w:t>
            </w:r>
          </w:p>
        </w:tc>
        <w:tc>
          <w:tcPr>
            <w:tcW w:w="2073" w:type="dxa"/>
            <w:vAlign w:val="center"/>
          </w:tcPr>
          <w:p>
            <w:pPr>
              <w:tabs>
                <w:tab w:val="center" w:pos="706"/>
                <w:tab w:val="left" w:pos="3600"/>
              </w:tabs>
              <w:spacing w:line="480" w:lineRule="auto"/>
              <w:jc w:val="center"/>
              <w:rPr>
                <w:rFonts w:hint="eastAsia" w:ascii="宋体" w:hAnsi="宋体" w:cs="Times New Roman"/>
                <w:sz w:val="21"/>
                <w:szCs w:val="21"/>
                <w:lang w:eastAsia="zh-CN"/>
              </w:rPr>
            </w:pPr>
            <w:r>
              <w:rPr>
                <w:rFonts w:hint="eastAsia" w:ascii="宋体" w:hAnsi="宋体" w:cs="Times New Roman"/>
                <w:sz w:val="21"/>
                <w:szCs w:val="21"/>
                <w:lang w:eastAsia="zh-CN"/>
              </w:rPr>
              <w:t>计划内审计项目及交办项目完成数</w:t>
            </w:r>
          </w:p>
        </w:tc>
        <w:tc>
          <w:tcPr>
            <w:tcW w:w="1077" w:type="dxa"/>
            <w:vAlign w:val="center"/>
          </w:tcPr>
          <w:p>
            <w:pPr>
              <w:tabs>
                <w:tab w:val="center" w:pos="706"/>
                <w:tab w:val="left" w:pos="3600"/>
              </w:tabs>
              <w:spacing w:line="480" w:lineRule="auto"/>
              <w:jc w:val="center"/>
              <w:rPr>
                <w:rFonts w:hint="default" w:ascii="宋体" w:hAnsi="宋体" w:cs="Times New Roman"/>
                <w:sz w:val="21"/>
                <w:szCs w:val="21"/>
                <w:lang w:val="en-US" w:eastAsia="zh-CN"/>
              </w:rPr>
            </w:pPr>
            <w:r>
              <w:rPr>
                <w:rFonts w:hint="default" w:ascii="Arial" w:hAnsi="Arial" w:cs="Arial"/>
                <w:sz w:val="21"/>
                <w:szCs w:val="21"/>
                <w:lang w:val="en-US" w:eastAsia="zh-CN"/>
              </w:rPr>
              <w:t>≥</w:t>
            </w:r>
            <w:r>
              <w:rPr>
                <w:rFonts w:hint="eastAsia" w:ascii="宋体" w:hAnsi="宋体" w:cs="Times New Roman"/>
                <w:sz w:val="21"/>
                <w:szCs w:val="21"/>
                <w:lang w:val="en-US" w:eastAsia="zh-CN"/>
              </w:rPr>
              <w:t>90%</w:t>
            </w:r>
          </w:p>
        </w:tc>
        <w:tc>
          <w:tcPr>
            <w:tcW w:w="855" w:type="dxa"/>
            <w:vAlign w:val="center"/>
          </w:tcPr>
          <w:p>
            <w:pPr>
              <w:tabs>
                <w:tab w:val="center" w:pos="706"/>
                <w:tab w:val="left" w:pos="3600"/>
              </w:tabs>
              <w:spacing w:line="480" w:lineRule="auto"/>
              <w:jc w:val="center"/>
              <w:rPr>
                <w:rFonts w:hint="eastAsia" w:ascii="宋体" w:hAnsi="宋体" w:cs="Times New Roman"/>
                <w:sz w:val="21"/>
                <w:szCs w:val="21"/>
                <w:lang w:eastAsia="zh-CN"/>
              </w:rPr>
            </w:pPr>
          </w:p>
        </w:tc>
        <w:tc>
          <w:tcPr>
            <w:tcW w:w="885" w:type="dxa"/>
            <w:vAlign w:val="center"/>
          </w:tcPr>
          <w:p>
            <w:pPr>
              <w:tabs>
                <w:tab w:val="center" w:pos="706"/>
                <w:tab w:val="left" w:pos="3600"/>
              </w:tabs>
              <w:spacing w:line="480" w:lineRule="auto"/>
              <w:jc w:val="center"/>
              <w:rPr>
                <w:rFonts w:hint="eastAsia" w:ascii="宋体" w:hAnsi="宋体" w:cs="Times New Roman"/>
                <w:sz w:val="21"/>
                <w:szCs w:val="21"/>
                <w:lang w:eastAsia="zh-CN"/>
              </w:rPr>
            </w:pPr>
          </w:p>
        </w:tc>
        <w:tc>
          <w:tcPr>
            <w:tcW w:w="925" w:type="dxa"/>
            <w:vAlign w:val="center"/>
          </w:tcPr>
          <w:p>
            <w:pPr>
              <w:tabs>
                <w:tab w:val="center" w:pos="706"/>
                <w:tab w:val="left" w:pos="3600"/>
              </w:tabs>
              <w:spacing w:line="480" w:lineRule="auto"/>
              <w:jc w:val="center"/>
              <w:rPr>
                <w:rFonts w:hint="eastAsia" w:ascii="宋体" w:hAnsi="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384" w:type="dxa"/>
            <w:vAlign w:val="center"/>
          </w:tcPr>
          <w:p>
            <w:pPr>
              <w:tabs>
                <w:tab w:val="left" w:pos="720"/>
                <w:tab w:val="left" w:pos="3600"/>
              </w:tabs>
              <w:spacing w:line="480" w:lineRule="auto"/>
              <w:jc w:val="center"/>
              <w:rPr>
                <w:rFonts w:hint="eastAsia" w:ascii="宋体" w:hAnsi="宋体" w:eastAsia="宋体"/>
                <w:sz w:val="21"/>
                <w:szCs w:val="21"/>
              </w:rPr>
            </w:pPr>
            <w:r>
              <w:rPr>
                <w:rFonts w:hint="eastAsia" w:ascii="宋体" w:hAnsi="宋体"/>
                <w:sz w:val="21"/>
                <w:szCs w:val="21"/>
                <w:lang w:eastAsia="zh-CN"/>
              </w:rPr>
              <w:t>效益</w:t>
            </w:r>
            <w:r>
              <w:rPr>
                <w:rFonts w:hint="eastAsia" w:ascii="宋体" w:hAnsi="宋体" w:eastAsia="宋体"/>
                <w:sz w:val="21"/>
                <w:szCs w:val="21"/>
              </w:rPr>
              <w:t>指标</w:t>
            </w:r>
          </w:p>
        </w:tc>
        <w:tc>
          <w:tcPr>
            <w:tcW w:w="1590" w:type="dxa"/>
            <w:vAlign w:val="center"/>
          </w:tcPr>
          <w:p>
            <w:pPr>
              <w:spacing w:line="480" w:lineRule="auto"/>
              <w:jc w:val="center"/>
              <w:rPr>
                <w:rFonts w:hint="eastAsia" w:ascii="宋体" w:hAnsi="宋体" w:eastAsia="宋体"/>
                <w:sz w:val="21"/>
                <w:szCs w:val="21"/>
              </w:rPr>
            </w:pPr>
            <w:r>
              <w:rPr>
                <w:rFonts w:hint="eastAsia"/>
                <w:sz w:val="21"/>
                <w:szCs w:val="21"/>
              </w:rPr>
              <w:t>经济效益指标</w:t>
            </w:r>
          </w:p>
        </w:tc>
        <w:tc>
          <w:tcPr>
            <w:tcW w:w="2073" w:type="dxa"/>
            <w:vAlign w:val="center"/>
          </w:tcPr>
          <w:p>
            <w:pPr>
              <w:tabs>
                <w:tab w:val="center" w:pos="706"/>
                <w:tab w:val="left" w:pos="3600"/>
              </w:tabs>
              <w:spacing w:line="480" w:lineRule="auto"/>
              <w:jc w:val="center"/>
              <w:rPr>
                <w:rFonts w:hint="eastAsia" w:ascii="宋体" w:hAnsi="宋体" w:cs="Times New Roman"/>
                <w:sz w:val="21"/>
                <w:szCs w:val="21"/>
                <w:lang w:eastAsia="zh-CN"/>
              </w:rPr>
            </w:pPr>
            <w:r>
              <w:rPr>
                <w:rFonts w:hint="eastAsia" w:ascii="宋体" w:hAnsi="宋体" w:cs="Times New Roman"/>
                <w:sz w:val="21"/>
                <w:szCs w:val="21"/>
                <w:lang w:eastAsia="zh-CN"/>
              </w:rPr>
              <w:t>规范财政资金使用</w:t>
            </w:r>
          </w:p>
        </w:tc>
        <w:tc>
          <w:tcPr>
            <w:tcW w:w="1077" w:type="dxa"/>
            <w:vAlign w:val="center"/>
          </w:tcPr>
          <w:p>
            <w:pPr>
              <w:tabs>
                <w:tab w:val="center" w:pos="706"/>
                <w:tab w:val="left" w:pos="3600"/>
              </w:tabs>
              <w:spacing w:line="480" w:lineRule="auto"/>
              <w:jc w:val="center"/>
              <w:rPr>
                <w:rFonts w:hint="eastAsia" w:ascii="宋体" w:hAnsi="宋体" w:eastAsia="宋体" w:cs="Times New Roman"/>
                <w:sz w:val="21"/>
                <w:szCs w:val="21"/>
                <w:lang w:val="en-US" w:eastAsia="zh-CN"/>
              </w:rPr>
            </w:pPr>
            <w:r>
              <w:rPr>
                <w:rFonts w:hint="default" w:ascii="Arial" w:hAnsi="Arial" w:cs="Arial"/>
                <w:sz w:val="21"/>
                <w:szCs w:val="21"/>
                <w:lang w:val="en-US" w:eastAsia="zh-CN"/>
              </w:rPr>
              <w:t>≥</w:t>
            </w:r>
            <w:r>
              <w:rPr>
                <w:rFonts w:hint="eastAsia" w:ascii="Arial" w:hAnsi="Arial" w:cs="Arial"/>
                <w:sz w:val="21"/>
                <w:szCs w:val="21"/>
                <w:lang w:val="en-US" w:eastAsia="zh-CN"/>
              </w:rPr>
              <w:t>2000万</w:t>
            </w:r>
          </w:p>
        </w:tc>
        <w:tc>
          <w:tcPr>
            <w:tcW w:w="855" w:type="dxa"/>
            <w:vAlign w:val="center"/>
          </w:tcPr>
          <w:p>
            <w:pPr>
              <w:tabs>
                <w:tab w:val="center" w:pos="706"/>
                <w:tab w:val="left" w:pos="3600"/>
              </w:tabs>
              <w:spacing w:line="480" w:lineRule="auto"/>
              <w:jc w:val="center"/>
              <w:rPr>
                <w:rFonts w:hint="eastAsia" w:ascii="宋体" w:hAnsi="宋体" w:cs="Times New Roman"/>
                <w:sz w:val="21"/>
                <w:szCs w:val="21"/>
                <w:lang w:eastAsia="zh-CN"/>
              </w:rPr>
            </w:pPr>
          </w:p>
        </w:tc>
        <w:tc>
          <w:tcPr>
            <w:tcW w:w="885" w:type="dxa"/>
            <w:vAlign w:val="center"/>
          </w:tcPr>
          <w:p>
            <w:pPr>
              <w:tabs>
                <w:tab w:val="center" w:pos="706"/>
                <w:tab w:val="left" w:pos="3600"/>
              </w:tabs>
              <w:spacing w:line="480" w:lineRule="auto"/>
              <w:jc w:val="center"/>
              <w:rPr>
                <w:rFonts w:hint="eastAsia" w:ascii="宋体" w:hAnsi="宋体" w:cs="Times New Roman"/>
                <w:sz w:val="21"/>
                <w:szCs w:val="21"/>
                <w:lang w:eastAsia="zh-CN"/>
              </w:rPr>
            </w:pPr>
          </w:p>
        </w:tc>
        <w:tc>
          <w:tcPr>
            <w:tcW w:w="925" w:type="dxa"/>
            <w:vAlign w:val="center"/>
          </w:tcPr>
          <w:p>
            <w:pPr>
              <w:tabs>
                <w:tab w:val="center" w:pos="706"/>
                <w:tab w:val="left" w:pos="3600"/>
              </w:tabs>
              <w:spacing w:line="480" w:lineRule="auto"/>
              <w:jc w:val="center"/>
              <w:rPr>
                <w:rFonts w:hint="eastAsia" w:ascii="宋体" w:hAnsi="宋体" w:cs="Times New Roman"/>
                <w:sz w:val="21"/>
                <w:szCs w:val="21"/>
                <w:lang w:eastAsia="zh-CN"/>
              </w:rPr>
            </w:pPr>
          </w:p>
        </w:tc>
      </w:tr>
    </w:tbl>
    <w:p>
      <w:r>
        <w:rPr>
          <w:rFonts w:hint="eastAsia" w:ascii="宋体" w:hAnsi="宋体"/>
          <w:sz w:val="24"/>
          <w:szCs w:val="24"/>
        </w:rPr>
        <w:t xml:space="preserve">    注：以预算批复的绩效目标为准填列</w:t>
      </w:r>
    </w:p>
    <w:p/>
    <w:p/>
    <w:p/>
    <w:p/>
    <w:p/>
    <w:p/>
    <w:p/>
    <w:p/>
    <w:p/>
    <w:p/>
    <w:p/>
    <w:p/>
    <w:p/>
    <w:p/>
    <w:p/>
    <w:p/>
    <w:p/>
    <w:p/>
    <w:p/>
    <w:p>
      <w:pPr>
        <w:spacing w:line="400" w:lineRule="exact"/>
        <w:jc w:val="left"/>
        <w:rPr>
          <w:rFonts w:hint="eastAsia" w:hAnsi="仿宋_GB2312" w:cs="仿宋_GB2312"/>
          <w:szCs w:val="32"/>
        </w:rPr>
      </w:pPr>
    </w:p>
    <w:p>
      <w:pPr>
        <w:spacing w:line="578"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3"/>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492"/>
        <w:gridCol w:w="363"/>
        <w:gridCol w:w="470"/>
        <w:gridCol w:w="25"/>
        <w:gridCol w:w="805"/>
        <w:gridCol w:w="136"/>
        <w:gridCol w:w="738"/>
        <w:gridCol w:w="424"/>
        <w:gridCol w:w="472"/>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8770" w:type="dxa"/>
            <w:gridSpan w:val="20"/>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659"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775" w:type="dxa"/>
            <w:gridSpan w:val="5"/>
            <w:vAlign w:val="center"/>
          </w:tcPr>
          <w:p>
            <w:pPr>
              <w:spacing w:line="300" w:lineRule="exact"/>
              <w:jc w:val="center"/>
              <w:rPr>
                <w:rFonts w:hint="eastAsia" w:ascii="宋体" w:hAnsi="宋体" w:eastAsia="宋体"/>
                <w:sz w:val="21"/>
                <w:szCs w:val="21"/>
              </w:rPr>
            </w:pPr>
            <w:r>
              <w:rPr>
                <w:rFonts w:hint="eastAsia" w:ascii="宋体" w:hAnsi="宋体"/>
                <w:szCs w:val="21"/>
                <w:lang w:val="en-US" w:eastAsia="zh-CN"/>
              </w:rPr>
              <w:t>海口市工程项目审计中心</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6"/>
            <w:vAlign w:val="center"/>
          </w:tcPr>
          <w:p>
            <w:pPr>
              <w:spacing w:line="300" w:lineRule="exact"/>
              <w:jc w:val="center"/>
              <w:rPr>
                <w:rFonts w:hint="eastAsia" w:ascii="宋体" w:hAnsi="宋体" w:eastAsia="宋体"/>
                <w:sz w:val="21"/>
                <w:szCs w:val="21"/>
              </w:rPr>
            </w:pPr>
            <w:r>
              <w:rPr>
                <w:rFonts w:hint="eastAsia" w:ascii="宋体" w:hAnsi="宋体"/>
                <w:szCs w:val="21"/>
                <w:lang w:eastAsia="zh-CN"/>
              </w:rPr>
              <w:t>海口市审计局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775" w:type="dxa"/>
            <w:gridSpan w:val="5"/>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林明龙</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68723432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spacing w:line="300" w:lineRule="exact"/>
              <w:jc w:val="center"/>
              <w:rPr>
                <w:rFonts w:hint="eastAsia" w:ascii="宋体" w:hAnsi="宋体" w:eastAsia="宋体"/>
                <w:sz w:val="21"/>
                <w:szCs w:val="21"/>
              </w:rPr>
            </w:pPr>
            <w:r>
              <w:rPr>
                <w:rFonts w:hint="eastAsia" w:ascii="宋体" w:hAnsi="宋体"/>
                <w:szCs w:val="21"/>
                <w:lang w:eastAsia="zh-CN"/>
              </w:rPr>
              <w:t>海口市秀英区长滨二路政府办公区</w:t>
            </w:r>
            <w:r>
              <w:rPr>
                <w:rFonts w:hint="eastAsia" w:ascii="宋体" w:hAnsi="宋体"/>
                <w:szCs w:val="21"/>
                <w:lang w:val="en-US" w:eastAsia="zh-CN"/>
              </w:rPr>
              <w:t>18号北楼5016</w:t>
            </w:r>
          </w:p>
        </w:tc>
        <w:tc>
          <w:tcPr>
            <w:tcW w:w="936"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570130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11" w:type="dxa"/>
            <w:gridSpan w:val="1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经常性项目（   ）       一次性项目（</w:t>
            </w:r>
            <w:r>
              <w:rPr>
                <w:rFonts w:hint="default" w:ascii="Arial" w:hAnsi="Arial" w:cs="Arial"/>
                <w:szCs w:val="21"/>
              </w:rPr>
              <w:t>√</w:t>
            </w:r>
            <w:r>
              <w:rPr>
                <w:rFonts w:hint="eastAsia" w:ascii="宋体"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599"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300" w:lineRule="exact"/>
              <w:jc w:val="center"/>
              <w:rPr>
                <w:rFonts w:hint="eastAsia" w:ascii="宋体" w:hAnsi="宋体" w:eastAsia="宋体"/>
                <w:sz w:val="21"/>
                <w:szCs w:val="21"/>
              </w:rPr>
            </w:pPr>
            <w:r>
              <w:rPr>
                <w:rFonts w:hint="eastAsia" w:ascii="宋体" w:hAnsi="宋体" w:eastAsia="宋体"/>
                <w:sz w:val="21"/>
                <w:szCs w:val="21"/>
              </w:rPr>
              <w:t>（万元）</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73.1</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738"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70.43</w:t>
            </w:r>
          </w:p>
        </w:tc>
        <w:tc>
          <w:tcPr>
            <w:tcW w:w="1711"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28" w:type="dxa"/>
            <w:gridSpan w:val="3"/>
            <w:vAlign w:val="center"/>
          </w:tcPr>
          <w:p>
            <w:pPr>
              <w:spacing w:line="300" w:lineRule="exact"/>
              <w:jc w:val="both"/>
              <w:rPr>
                <w:rFonts w:hint="default" w:ascii="宋体" w:hAnsi="宋体" w:eastAsia="宋体"/>
                <w:sz w:val="21"/>
                <w:szCs w:val="21"/>
                <w:lang w:val="en-US" w:eastAsia="zh-CN"/>
              </w:rPr>
            </w:pPr>
            <w:r>
              <w:rPr>
                <w:rFonts w:hint="eastAsia" w:ascii="宋体" w:hAnsi="宋体"/>
                <w:sz w:val="21"/>
                <w:szCs w:val="21"/>
                <w:lang w:val="en-US" w:eastAsia="zh-CN"/>
              </w:rPr>
              <w:t>69.71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738" w:type="dxa"/>
            <w:vAlign w:val="center"/>
          </w:tcPr>
          <w:p>
            <w:pPr>
              <w:spacing w:line="300" w:lineRule="exact"/>
              <w:jc w:val="center"/>
              <w:rPr>
                <w:rFonts w:hint="eastAsia" w:ascii="宋体" w:hAnsi="宋体" w:eastAsia="宋体"/>
                <w:sz w:val="21"/>
                <w:szCs w:val="21"/>
              </w:rPr>
            </w:pP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738" w:type="dxa"/>
            <w:vAlign w:val="center"/>
          </w:tcPr>
          <w:p>
            <w:pPr>
              <w:spacing w:line="300" w:lineRule="exact"/>
              <w:jc w:val="center"/>
              <w:rPr>
                <w:rFonts w:hint="eastAsia" w:ascii="宋体" w:hAnsi="宋体" w:eastAsia="宋体"/>
                <w:sz w:val="21"/>
                <w:szCs w:val="21"/>
              </w:rPr>
            </w:pP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73.1</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738"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70.43</w:t>
            </w: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738" w:type="dxa"/>
            <w:vAlign w:val="center"/>
          </w:tcPr>
          <w:p>
            <w:pPr>
              <w:spacing w:line="300" w:lineRule="exact"/>
              <w:jc w:val="center"/>
              <w:rPr>
                <w:rFonts w:hint="eastAsia" w:ascii="宋体" w:hAnsi="宋体" w:eastAsia="宋体"/>
                <w:sz w:val="21"/>
                <w:szCs w:val="21"/>
              </w:rPr>
            </w:pP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8752" w:type="dxa"/>
            <w:gridSpan w:val="19"/>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bCs/>
                <w:color w:val="000000"/>
                <w:sz w:val="21"/>
                <w:szCs w:val="21"/>
                <w:lang w:val="en-US" w:eastAsia="zh-CN"/>
              </w:rPr>
            </w:pPr>
            <w:r>
              <w:rPr>
                <w:rFonts w:hint="eastAsia" w:ascii="宋体" w:hAnsi="宋体"/>
                <w:bCs/>
                <w:color w:val="000000"/>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4462" w:type="dxa"/>
            <w:gridSpan w:val="10"/>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01" w:type="dxa"/>
            <w:gridSpan w:val="9"/>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8763" w:type="dxa"/>
            <w:gridSpan w:val="19"/>
            <w:vAlign w:val="center"/>
          </w:tcPr>
          <w:p>
            <w:pPr>
              <w:spacing w:line="30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tabs>
                <w:tab w:val="left" w:pos="592"/>
              </w:tabs>
              <w:spacing w:line="300" w:lineRule="exact"/>
              <w:jc w:val="center"/>
              <w:rPr>
                <w:rFonts w:hint="eastAsia" w:ascii="宋体" w:hAnsi="宋体" w:eastAsia="宋体"/>
                <w:sz w:val="21"/>
                <w:szCs w:val="21"/>
              </w:rPr>
            </w:pPr>
            <w:r>
              <w:rPr>
                <w:rFonts w:hint="eastAsia" w:ascii="宋体" w:hAnsi="宋体" w:eastAsia="宋体"/>
                <w:sz w:val="21"/>
                <w:szCs w:val="21"/>
              </w:rPr>
              <w:t>姓  名</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单   位</w:t>
            </w: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740"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林义雨</w:t>
            </w:r>
          </w:p>
        </w:tc>
        <w:tc>
          <w:tcPr>
            <w:tcW w:w="1557" w:type="dxa"/>
            <w:gridSpan w:val="4"/>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中心副主任</w:t>
            </w:r>
          </w:p>
        </w:tc>
        <w:tc>
          <w:tcPr>
            <w:tcW w:w="2598" w:type="dxa"/>
            <w:gridSpan w:val="6"/>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海口市工程项目审计中心</w:t>
            </w:r>
          </w:p>
        </w:tc>
        <w:tc>
          <w:tcPr>
            <w:tcW w:w="1263" w:type="dxa"/>
            <w:gridSpan w:val="3"/>
            <w:vAlign w:val="center"/>
          </w:tcPr>
          <w:p>
            <w:pPr>
              <w:spacing w:line="300" w:lineRule="exact"/>
              <w:jc w:val="center"/>
              <w:rPr>
                <w:rFonts w:hint="eastAsia" w:ascii="宋体" w:hAnsi="宋体" w:eastAsia="宋体"/>
                <w:sz w:val="21"/>
                <w:szCs w:val="21"/>
              </w:rPr>
            </w:pP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727"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陈少杨</w:t>
            </w:r>
          </w:p>
        </w:tc>
        <w:tc>
          <w:tcPr>
            <w:tcW w:w="1557" w:type="dxa"/>
            <w:gridSpan w:val="4"/>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监督复核室副主任</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海口市工程项目审计中心</w:t>
            </w:r>
          </w:p>
        </w:tc>
        <w:tc>
          <w:tcPr>
            <w:tcW w:w="1263" w:type="dxa"/>
            <w:gridSpan w:val="3"/>
            <w:vAlign w:val="center"/>
          </w:tcPr>
          <w:p>
            <w:pPr>
              <w:spacing w:line="300" w:lineRule="exact"/>
              <w:jc w:val="center"/>
              <w:rPr>
                <w:rFonts w:hint="eastAsia" w:ascii="宋体" w:hAnsi="宋体" w:eastAsia="宋体"/>
                <w:sz w:val="21"/>
                <w:szCs w:val="21"/>
              </w:rPr>
            </w:pP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合计</w:t>
            </w:r>
          </w:p>
        </w:tc>
        <w:tc>
          <w:tcPr>
            <w:tcW w:w="1557" w:type="dxa"/>
            <w:gridSpan w:val="4"/>
            <w:vAlign w:val="center"/>
          </w:tcPr>
          <w:p>
            <w:pPr>
              <w:spacing w:line="300" w:lineRule="exact"/>
              <w:jc w:val="center"/>
              <w:rPr>
                <w:rFonts w:hint="eastAsia" w:ascii="宋体" w:hAnsi="宋体" w:eastAsia="宋体"/>
                <w:sz w:val="21"/>
                <w:szCs w:val="21"/>
              </w:rPr>
            </w:pPr>
          </w:p>
        </w:tc>
        <w:tc>
          <w:tcPr>
            <w:tcW w:w="2598" w:type="dxa"/>
            <w:gridSpan w:val="6"/>
            <w:vAlign w:val="center"/>
          </w:tcPr>
          <w:p>
            <w:pPr>
              <w:spacing w:line="300" w:lineRule="exact"/>
              <w:jc w:val="center"/>
              <w:rPr>
                <w:rFonts w:hint="eastAsia" w:ascii="宋体" w:hAnsi="宋体" w:eastAsia="宋体"/>
                <w:sz w:val="21"/>
                <w:szCs w:val="21"/>
              </w:rPr>
            </w:pP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color w:val="A4A4A4"/>
                <w:sz w:val="21"/>
                <w:szCs w:val="21"/>
              </w:rPr>
              <w:t>平均得分</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63" w:type="dxa"/>
            <w:gridSpan w:val="19"/>
            <w:tcBorders>
              <w:bottom w:val="single" w:color="auto" w:sz="4" w:space="0"/>
            </w:tcBorders>
            <w:vAlign w:val="center"/>
          </w:tcPr>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lang w:eastAsia="zh-CN"/>
              </w:rPr>
            </w:pPr>
            <w:r>
              <w:rPr>
                <w:rFonts w:hint="eastAsia" w:ascii="宋体" w:hAnsi="宋体" w:eastAsia="宋体"/>
                <w:sz w:val="21"/>
                <w:szCs w:val="21"/>
              </w:rPr>
              <w:t>评价工作组组长（签字并单位盖章）：</w:t>
            </w:r>
            <w:r>
              <w:rPr>
                <w:rFonts w:hint="eastAsia" w:ascii="宋体" w:hAnsi="宋体"/>
                <w:sz w:val="21"/>
                <w:szCs w:val="21"/>
                <w:lang w:eastAsia="zh-CN"/>
              </w:rPr>
              <w:t>林义雨</w:t>
            </w:r>
          </w:p>
          <w:p>
            <w:pPr>
              <w:spacing w:line="300" w:lineRule="exact"/>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sz w:val="21"/>
                <w:szCs w:val="21"/>
                <w:lang w:val="en-US" w:eastAsia="zh-CN"/>
              </w:rPr>
              <w:t xml:space="preserve">2021 </w:t>
            </w:r>
            <w:r>
              <w:rPr>
                <w:rFonts w:hint="eastAsia" w:ascii="宋体" w:hAnsi="宋体" w:eastAsia="宋体"/>
                <w:sz w:val="21"/>
                <w:szCs w:val="21"/>
              </w:rPr>
              <w:t>年</w:t>
            </w:r>
            <w:r>
              <w:rPr>
                <w:rFonts w:hint="eastAsia" w:ascii="宋体" w:hAnsi="宋体"/>
                <w:sz w:val="21"/>
                <w:szCs w:val="21"/>
                <w:lang w:val="en-US" w:eastAsia="zh-CN"/>
              </w:rPr>
              <w:t xml:space="preserve"> 4</w:t>
            </w:r>
            <w:r>
              <w:rPr>
                <w:rFonts w:hint="eastAsia" w:ascii="宋体" w:hAnsi="宋体" w:eastAsia="宋体"/>
                <w:sz w:val="21"/>
                <w:szCs w:val="21"/>
              </w:rPr>
              <w:t xml:space="preserve"> 月</w:t>
            </w:r>
            <w:r>
              <w:rPr>
                <w:rFonts w:hint="eastAsia" w:ascii="宋体" w:hAnsi="宋体"/>
                <w:sz w:val="21"/>
                <w:szCs w:val="21"/>
                <w:lang w:val="en-US" w:eastAsia="zh-CN"/>
              </w:rPr>
              <w:t xml:space="preserve"> 16</w:t>
            </w:r>
            <w:r>
              <w:rPr>
                <w:rFonts w:hint="eastAsia" w:ascii="宋体" w:hAnsi="宋体" w:eastAsia="宋体"/>
                <w:sz w:val="21"/>
                <w:szCs w:val="21"/>
              </w:rPr>
              <w:t xml:space="preserve"> 日</w:t>
            </w:r>
          </w:p>
        </w:tc>
      </w:tr>
    </w:tbl>
    <w:p/>
    <w:p>
      <w:pPr>
        <w:spacing w:line="578" w:lineRule="exact"/>
        <w:jc w:val="left"/>
        <w:rPr>
          <w:rFonts w:hint="eastAsia" w:hAnsi="仿宋_GB2312" w:cs="仿宋_GB2312"/>
          <w:b/>
          <w:bCs/>
          <w:color w:val="000000"/>
          <w:szCs w:val="32"/>
        </w:rPr>
      </w:pPr>
    </w:p>
    <w:p>
      <w:pPr>
        <w:spacing w:line="578" w:lineRule="exact"/>
        <w:jc w:val="center"/>
        <w:rPr>
          <w:rFonts w:hint="eastAsia" w:ascii="宋体" w:hAnsi="宋体" w:eastAsia="宋体"/>
          <w:b/>
          <w:bCs/>
          <w:color w:val="000000"/>
          <w:sz w:val="44"/>
          <w:szCs w:val="44"/>
        </w:rPr>
      </w:pPr>
      <w:r>
        <w:rPr>
          <w:rFonts w:hint="eastAsia" w:ascii="宋体" w:hAnsi="宋体" w:eastAsia="宋体"/>
          <w:b/>
          <w:bCs/>
          <w:color w:val="000000"/>
          <w:sz w:val="44"/>
          <w:szCs w:val="44"/>
        </w:rPr>
        <w:t>财政支出项目绩效评价报告</w:t>
      </w:r>
    </w:p>
    <w:p>
      <w:pPr>
        <w:spacing w:line="578" w:lineRule="exact"/>
        <w:jc w:val="center"/>
        <w:outlineLvl w:val="0"/>
        <w:rPr>
          <w:rFonts w:hint="eastAsia" w:ascii="宋体" w:hAnsi="宋体" w:eastAsia="宋体"/>
          <w:b/>
          <w:color w:val="000000"/>
          <w:sz w:val="32"/>
          <w:szCs w:val="32"/>
          <w:lang w:eastAsia="zh-CN"/>
        </w:rPr>
      </w:pPr>
      <w:r>
        <w:rPr>
          <w:rFonts w:hint="eastAsia" w:ascii="宋体" w:hAnsi="宋体"/>
          <w:b/>
          <w:color w:val="000000"/>
          <w:sz w:val="32"/>
          <w:szCs w:val="32"/>
          <w:lang w:eastAsia="zh-CN"/>
        </w:rPr>
        <w:t>——审计业务项目</w:t>
      </w:r>
    </w:p>
    <w:p>
      <w:pPr>
        <w:spacing w:line="578" w:lineRule="exact"/>
        <w:outlineLvl w:val="0"/>
        <w:rPr>
          <w:rFonts w:hint="eastAsia"/>
          <w:color w:val="000000"/>
        </w:rPr>
      </w:pP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一、项目概况</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（一）项目基本性质、用途和主要内容</w:t>
      </w:r>
    </w:p>
    <w:p>
      <w:pPr>
        <w:spacing w:line="578" w:lineRule="exact"/>
        <w:ind w:firstLine="640" w:firstLineChars="200"/>
        <w:outlineLvl w:val="0"/>
        <w:rPr>
          <w:rFonts w:hint="eastAsia" w:ascii="仿宋_GB2312" w:hAnsi="仿宋_GB2312" w:eastAsia="仿宋_GB2312" w:cs="仿宋_GB2312"/>
          <w:color w:val="000000"/>
          <w:sz w:val="32"/>
          <w:szCs w:val="32"/>
          <w:lang w:val="en-US" w:eastAsia="zh-CN"/>
        </w:rPr>
      </w:pPr>
      <w:bookmarkStart w:id="0" w:name="OLE_LINK1"/>
      <w:bookmarkStart w:id="1" w:name="OLE_LINK2"/>
      <w:r>
        <w:rPr>
          <w:rFonts w:hint="eastAsia" w:ascii="仿宋_GB2312" w:eastAsia="仿宋_GB2312"/>
          <w:sz w:val="32"/>
          <w:szCs w:val="32"/>
          <w:lang w:val="en-US" w:eastAsia="zh-CN"/>
        </w:rPr>
        <w:t>1</w:t>
      </w:r>
      <w:r>
        <w:rPr>
          <w:rFonts w:hint="eastAsia" w:ascii="仿宋_GB2312" w:hAnsi="仿宋_GB2312" w:eastAsia="仿宋_GB2312" w:cs="仿宋_GB2312"/>
          <w:color w:val="000000"/>
          <w:sz w:val="32"/>
          <w:szCs w:val="32"/>
          <w:lang w:val="en-US" w:eastAsia="zh-CN"/>
        </w:rPr>
        <w:t>.项目单位基本情况</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海口市工程项目审计中心（海口市电子数据审计技术中心）</w:t>
      </w:r>
      <w:bookmarkEnd w:id="0"/>
      <w:bookmarkEnd w:id="1"/>
      <w:r>
        <w:rPr>
          <w:rFonts w:hint="eastAsia" w:ascii="仿宋_GB2312" w:hAnsi="仿宋_GB2312" w:eastAsia="仿宋_GB2312" w:cs="仿宋_GB2312"/>
          <w:color w:val="000000"/>
          <w:sz w:val="32"/>
          <w:szCs w:val="32"/>
        </w:rPr>
        <w:t>隶属海口市审计局，为副处级公益一类事业单位。</w:t>
      </w:r>
    </w:p>
    <w:p>
      <w:pPr>
        <w:spacing w:line="578" w:lineRule="exact"/>
        <w:ind w:firstLine="640" w:firstLineChars="200"/>
        <w:outlineLvl w:val="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主要职责：贯彻执行国家、省、市有关审计工作的方针政策、法律法规。负责对我市市级重点建设项目的预算执行和结（决）算进行审计监督。负责对列入市审计局年度审计计划的政府投资建设项目的预算执行和结（决）算进行审计监督。参与对其他建设项目进行的审计监督。参与对我市国有建设投资公司（单位）和国有资产占控股或者主导地位的建设投资公司（单位）的财务收支进行的审计监督。参与市审计局组织开展的专项审计和调查。负责对审计业务电子数据的采集、整理和分析工作。负责政府和国有企业电子政务工程、信息化项目及信息系统的审计技术辅助。负责协调各区审计大数据审计业务工作。完成上级主管部门交办的其他工作。内设办公室、审计一室、审计二室、监督复核室和数据分析室5个正科级职能机构事业编制24人，</w:t>
      </w:r>
      <w:r>
        <w:rPr>
          <w:rFonts w:hint="eastAsia" w:ascii="仿宋_GB2312" w:hAnsi="仿宋_GB2312" w:eastAsia="仿宋_GB2312" w:cs="仿宋_GB2312"/>
          <w:color w:val="000000"/>
          <w:sz w:val="32"/>
          <w:szCs w:val="32"/>
          <w:lang w:val="en-US" w:eastAsia="zh-CN"/>
        </w:rPr>
        <w:t>2020年底</w:t>
      </w:r>
      <w:r>
        <w:rPr>
          <w:rFonts w:hint="eastAsia" w:ascii="仿宋_GB2312" w:hAnsi="仿宋_GB2312" w:eastAsia="仿宋_GB2312" w:cs="仿宋_GB2312"/>
          <w:color w:val="000000"/>
          <w:sz w:val="32"/>
          <w:szCs w:val="32"/>
        </w:rPr>
        <w:t>在编在岗人员</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w:t>
      </w:r>
    </w:p>
    <w:p>
      <w:pPr>
        <w:spacing w:line="578" w:lineRule="exact"/>
        <w:ind w:firstLine="640" w:firstLineChars="200"/>
        <w:outlineLvl w:val="0"/>
        <w:rPr>
          <w:rFonts w:hint="eastAsia" w:ascii="仿宋_GB2312" w:hAnsi="仿宋_GB2312" w:eastAsia="仿宋_GB2312" w:cs="仿宋_GB2312"/>
          <w:color w:val="000000"/>
          <w:sz w:val="32"/>
          <w:szCs w:val="32"/>
          <w:lang w:val="en-US" w:eastAsia="zh-CN"/>
        </w:rPr>
      </w:pPr>
    </w:p>
    <w:p>
      <w:pPr>
        <w:spacing w:line="578" w:lineRule="exact"/>
        <w:ind w:firstLine="640" w:firstLineChars="200"/>
        <w:outlineLvl w:val="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2.项目</w:t>
      </w:r>
      <w:r>
        <w:rPr>
          <w:rFonts w:hint="eastAsia" w:ascii="仿宋_GB2312" w:hAnsi="仿宋_GB2312" w:eastAsia="仿宋_GB2312" w:cs="仿宋_GB2312"/>
          <w:color w:val="000000"/>
          <w:sz w:val="32"/>
          <w:szCs w:val="32"/>
          <w:lang w:eastAsia="zh-CN"/>
        </w:rPr>
        <w:t>基本性质、用途和主要内容</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审计业务为我中心</w:t>
      </w:r>
      <w:r>
        <w:rPr>
          <w:rFonts w:hint="eastAsia" w:ascii="仿宋_GB2312" w:hAnsi="仿宋_GB2312" w:eastAsia="仿宋_GB2312" w:cs="仿宋_GB2312"/>
          <w:color w:val="000000"/>
          <w:sz w:val="32"/>
          <w:szCs w:val="32"/>
          <w:lang w:val="en-US" w:eastAsia="zh-CN"/>
        </w:rPr>
        <w:t>2020年一次性项目。</w:t>
      </w:r>
      <w:r>
        <w:rPr>
          <w:rFonts w:hint="eastAsia" w:ascii="仿宋_GB2312" w:hAnsi="仿宋_GB2312" w:eastAsia="仿宋_GB2312" w:cs="仿宋_GB2312"/>
          <w:color w:val="000000"/>
          <w:sz w:val="32"/>
          <w:szCs w:val="32"/>
          <w:lang w:eastAsia="zh-CN"/>
        </w:rPr>
        <w:t>为切实加强政府公共投资建设项目的审计监督能力，</w:t>
      </w:r>
      <w:r>
        <w:rPr>
          <w:rFonts w:hint="eastAsia" w:ascii="仿宋_GB2312" w:hAnsi="仿宋_GB2312" w:eastAsia="仿宋_GB2312" w:cs="仿宋_GB2312"/>
          <w:color w:val="000000"/>
          <w:sz w:val="32"/>
          <w:szCs w:val="32"/>
        </w:rPr>
        <w:t>依法履行政府投资审计监督职责</w:t>
      </w:r>
      <w:r>
        <w:rPr>
          <w:rFonts w:hint="eastAsia" w:ascii="仿宋_GB2312" w:hAnsi="仿宋_GB2312" w:eastAsia="仿宋_GB2312" w:cs="仿宋_GB2312"/>
          <w:color w:val="000000"/>
          <w:sz w:val="32"/>
          <w:szCs w:val="32"/>
          <w:lang w:eastAsia="zh-CN"/>
        </w:rPr>
        <w:t>，全面落实市审计局交办的各项任务，推动政府投资审计转型升级，完成计划项目及交办审计项目,有效控制工程结算造价;督促加快工程进度,提高存量资金的使用效率,实施跟踪审计,保障我市重大项目的顺利实施。主要内容包含人员经费、工作经费、委托业务费等。</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（二）项目绩效目标</w:t>
      </w:r>
    </w:p>
    <w:p>
      <w:pPr>
        <w:spacing w:line="578"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绩效目标为一是完成计划内审计项目及交办项目，二是</w:t>
      </w:r>
      <w:r>
        <w:rPr>
          <w:rFonts w:hint="eastAsia" w:ascii="仿宋_GB2312" w:hAnsi="仿宋_GB2312" w:eastAsia="仿宋_GB2312" w:cs="仿宋_GB2312"/>
          <w:color w:val="000000"/>
          <w:sz w:val="32"/>
          <w:szCs w:val="32"/>
          <w:lang w:eastAsia="zh-CN"/>
        </w:rPr>
        <w:t>保障聘用及派遣人员工资社保公积金等工资福利支出。</w:t>
      </w:r>
      <w:r>
        <w:rPr>
          <w:rFonts w:hint="eastAsia" w:ascii="仿宋_GB2312" w:hAnsi="仿宋_GB2312" w:eastAsia="仿宋_GB2312" w:cs="仿宋_GB2312"/>
          <w:color w:val="auto"/>
          <w:sz w:val="32"/>
          <w:szCs w:val="32"/>
          <w:lang w:eastAsia="zh-CN"/>
        </w:rPr>
        <w:t>设定一级指标为产出指标和效益指标。产出指标为质量</w:t>
      </w:r>
      <w:r>
        <w:rPr>
          <w:rFonts w:hint="eastAsia" w:ascii="仿宋_GB2312" w:hAnsi="仿宋_GB2312" w:eastAsia="仿宋_GB2312" w:cs="仿宋_GB2312"/>
          <w:color w:val="auto"/>
          <w:sz w:val="32"/>
          <w:szCs w:val="32"/>
        </w:rPr>
        <w:t>指标</w:t>
      </w:r>
      <w:r>
        <w:rPr>
          <w:rFonts w:hint="eastAsia" w:ascii="仿宋_GB2312" w:hAnsi="仿宋_GB2312" w:eastAsia="仿宋_GB2312" w:cs="仿宋_GB2312"/>
          <w:color w:val="auto"/>
          <w:sz w:val="32"/>
          <w:szCs w:val="32"/>
          <w:lang w:eastAsia="zh-CN"/>
        </w:rPr>
        <w:t>，绩效目标值为审计项目完成率大于等于</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lang w:eastAsia="zh-CN"/>
        </w:rPr>
        <w:t>；效益指标为经济效益指标，三级指标为规范财政资金使用，绩效目标值设定为大于等于</w:t>
      </w:r>
      <w:r>
        <w:rPr>
          <w:rFonts w:hint="eastAsia" w:ascii="仿宋_GB2312" w:hAnsi="仿宋_GB2312" w:eastAsia="仿宋_GB2312" w:cs="仿宋_GB2312"/>
          <w:color w:val="auto"/>
          <w:sz w:val="32"/>
          <w:szCs w:val="32"/>
          <w:lang w:val="en-US" w:eastAsia="zh-CN"/>
        </w:rPr>
        <w:t>2000万元</w:t>
      </w:r>
      <w:r>
        <w:rPr>
          <w:rFonts w:hint="eastAsia" w:ascii="仿宋_GB2312" w:hAnsi="仿宋_GB2312" w:eastAsia="仿宋_GB2312" w:cs="仿宋_GB2312"/>
          <w:color w:val="auto"/>
          <w:sz w:val="32"/>
          <w:szCs w:val="32"/>
          <w:lang w:eastAsia="zh-CN"/>
        </w:rPr>
        <w:t>。</w:t>
      </w:r>
    </w:p>
    <w:p>
      <w:pPr>
        <w:spacing w:line="578" w:lineRule="exact"/>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 xml:space="preserve">    二、</w:t>
      </w:r>
      <w:r>
        <w:rPr>
          <w:rFonts w:hint="eastAsia" w:ascii="仿宋_GB2312" w:hAnsi="仿宋_GB2312" w:eastAsia="仿宋_GB2312" w:cs="仿宋_GB2312"/>
          <w:bCs/>
          <w:color w:val="000000"/>
          <w:sz w:val="32"/>
          <w:szCs w:val="32"/>
        </w:rPr>
        <w:t>项目资金使用及管理情况</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（一）项目资金到位情况分析</w:t>
      </w:r>
    </w:p>
    <w:p>
      <w:pPr>
        <w:spacing w:line="578"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2020年我单位审计业务项目支出预算73.1万元，均为财政资金，收回2.67万元，实际到位资金70.43万元。</w:t>
      </w:r>
    </w:p>
    <w:p>
      <w:pPr>
        <w:numPr>
          <w:ilvl w:val="0"/>
          <w:numId w:val="1"/>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项目资金使用情况分析</w:t>
      </w:r>
    </w:p>
    <w:p>
      <w:pPr>
        <w:widowControl w:val="0"/>
        <w:numPr>
          <w:ilvl w:val="0"/>
          <w:numId w:val="0"/>
        </w:numPr>
        <w:spacing w:line="578"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财政资金实际到位70.43万元，支出</w:t>
      </w:r>
      <w:r>
        <w:rPr>
          <w:rFonts w:hint="eastAsia" w:ascii="仿宋_GB2312" w:hAnsi="仿宋_GB2312" w:eastAsia="仿宋_GB2312" w:cs="仿宋_GB2312"/>
          <w:sz w:val="32"/>
          <w:szCs w:val="32"/>
          <w:lang w:val="en-US" w:eastAsia="zh-CN"/>
        </w:rPr>
        <w:t>69.71</w:t>
      </w:r>
      <w:r>
        <w:rPr>
          <w:rFonts w:hint="eastAsia" w:ascii="仿宋_GB2312" w:hAnsi="仿宋_GB2312" w:eastAsia="仿宋_GB2312" w:cs="仿宋_GB2312"/>
          <w:bCs/>
          <w:color w:val="000000"/>
          <w:sz w:val="32"/>
          <w:szCs w:val="32"/>
          <w:highlight w:val="none"/>
          <w:lang w:val="en-US" w:eastAsia="zh-CN"/>
        </w:rPr>
        <w:t>万元,完成预算率98.98%，其中</w:t>
      </w:r>
      <w:r>
        <w:rPr>
          <w:rFonts w:hint="eastAsia" w:ascii="仿宋_GB2312" w:hAnsi="仿宋_GB2312" w:eastAsia="仿宋_GB2312" w:cs="仿宋_GB2312"/>
          <w:sz w:val="32"/>
          <w:szCs w:val="32"/>
          <w:lang w:val="en-US" w:eastAsia="zh-CN"/>
        </w:rPr>
        <w:t>工资福利支出50.64万元，商品和服务支出19.07万元。</w:t>
      </w:r>
    </w:p>
    <w:p>
      <w:pPr>
        <w:numPr>
          <w:ilvl w:val="0"/>
          <w:numId w:val="1"/>
        </w:numPr>
        <w:spacing w:line="578" w:lineRule="exact"/>
        <w:ind w:left="0" w:leftChars="0"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项目资金管理情况分析</w:t>
      </w:r>
    </w:p>
    <w:p>
      <w:pPr>
        <w:pStyle w:val="6"/>
        <w:spacing w:before="0" w:beforeAutospacing="0" w:after="0" w:afterAutospacing="0" w:line="560" w:lineRule="exact"/>
        <w:ind w:firstLineChars="198"/>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1.预算管理方面：本单位不断强化预算意识，形成以单位领导支持、办公室牵头、业务科室密切配合的工作格局，进行科学合理分配细化，保证预算编制质量。严格执行项目支出预算，科学合理安排支出，跟踪预算执行进度；对于预算编制里的政府采购项目，加强对预算执行过程的控制和结果的反馈，并及时向领导和相关科室进行反馈，以促进预算目标的全面完成。</w:t>
      </w:r>
    </w:p>
    <w:p>
      <w:pPr>
        <w:pStyle w:val="6"/>
        <w:spacing w:before="0" w:beforeAutospacing="0" w:after="0" w:afterAutospacing="0" w:line="560" w:lineRule="exact"/>
        <w:ind w:firstLineChars="198"/>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2.内控管理方面：根据本单位工作实际，在建立并实施内部监督和控制制度过程中，全面梳理业务流程，明确业务环节，分析风险隐患，建立和完善了各项管理制度，并按照财政部门及主管部门的要求，加强对资金层面和业务层面的内部控制。相关人员在工作过程中能够严格遵守这些规章制度，实现内部控制体系全面、有效实施。</w:t>
      </w:r>
    </w:p>
    <w:p>
      <w:pPr>
        <w:pStyle w:val="6"/>
        <w:spacing w:before="0" w:beforeAutospacing="0" w:after="0" w:afterAutospacing="0" w:line="560" w:lineRule="exact"/>
        <w:ind w:firstLineChars="198"/>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3.资产管理方面：一是加强会计核算工作。在固定资产购置时，按照数量、金额登记明细账，编制固定资产卡片，确保账面上能真实、完整的反映单位的固定资产情况；另一方面通过账簿记录和记账凭证，原始凭证的核对，保证账账相符,无固定资产不入账，公物私用及其他违规问题。二是加强程序管理。严格执行行政事业单位国有资产配置标准。未纳入预算的固定资产，不得随意采购；确需急用的，由中心主任召开主任办公会议议定后实施采购。三是加强内部监督。定期或不定期的对固定资产及其使用情况进行抽查。检查固定资产的购置、领用、处置等程序是否合规，并及时清理已达报废年限的固定资产。</w:t>
      </w:r>
    </w:p>
    <w:p>
      <w:pPr>
        <w:pStyle w:val="6"/>
        <w:spacing w:before="0" w:beforeAutospacing="0" w:after="0" w:afterAutospacing="0" w:line="560" w:lineRule="exact"/>
        <w:ind w:firstLineChars="198"/>
        <w:rPr>
          <w:rFonts w:ascii="仿宋_GB2312" w:eastAsia="仿宋_GB2312"/>
          <w:sz w:val="30"/>
          <w:szCs w:val="30"/>
        </w:rPr>
      </w:pPr>
      <w:r>
        <w:rPr>
          <w:rFonts w:hint="eastAsia" w:ascii="仿宋_GB2312" w:hAnsi="仿宋_GB2312" w:eastAsia="仿宋_GB2312" w:cs="仿宋_GB2312"/>
          <w:bCs/>
          <w:color w:val="000000"/>
          <w:kern w:val="2"/>
          <w:sz w:val="32"/>
          <w:szCs w:val="32"/>
          <w:lang w:val="en-US" w:eastAsia="zh-CN"/>
        </w:rPr>
        <w:t>4.绩效管理方面：单位进一步提高预算绩效管理认识，强化以“绩效为中心、对支出结果负责、对社会公众负责”的理念，加强预算绩效动态监控管理，及时跟踪项目进度，对项目实施中存在的具体问题采取纠偏措施。安排财务人员参加绩效管理业务培训，进一步提高预算绩效评价质量。</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三、项目组织实施情况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（一）项目组织情况分析</w:t>
      </w:r>
    </w:p>
    <w:p>
      <w:pPr>
        <w:spacing w:line="578" w:lineRule="exact"/>
        <w:ind w:firstLine="640" w:firstLineChars="200"/>
        <w:outlineLvl w:val="0"/>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根据海口市审计局《关于2020年审计项目计划任务分解的通知》、《关于调整2020 年审计项目计划的请示》，我局</w:t>
      </w:r>
      <w:r>
        <w:rPr>
          <w:rFonts w:hint="eastAsia" w:ascii="仿宋_GB2312" w:hAnsi="仿宋_GB2312" w:eastAsia="仿宋_GB2312" w:cs="仿宋_GB2312"/>
          <w:bCs/>
          <w:color w:val="000000"/>
          <w:sz w:val="32"/>
          <w:szCs w:val="32"/>
          <w:lang w:val="en-US" w:eastAsia="zh-CN"/>
        </w:rPr>
        <w:t>2020年审计计划项目调整为49个，其中公共投资审计项目19个。2020年度，海口市工程项目审计中心实际完成计划内审计项目及交办项目共计38个，完成率200%。具体如下：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Cs/>
          <w:color w:val="000000"/>
          <w:sz w:val="32"/>
          <w:szCs w:val="32"/>
          <w:lang w:val="en-US" w:eastAsia="zh-CN"/>
        </w:rPr>
        <w:t>1.</w:t>
      </w:r>
      <w:r>
        <w:rPr>
          <w:rFonts w:hint="eastAsia" w:ascii="楷体_GB2312" w:hAnsi="楷体_GB2312" w:eastAsia="楷体_GB2312" w:cs="楷体_GB2312"/>
          <w:sz w:val="32"/>
        </w:rPr>
        <w:t>聚焦“三个转变”，促进审计转型向好发展</w:t>
      </w:r>
    </w:p>
    <w:p>
      <w:pPr>
        <w:spacing w:line="578" w:lineRule="exact"/>
        <w:ind w:firstLine="640" w:firstLineChars="200"/>
        <w:outlineLvl w:val="0"/>
        <w:rPr>
          <w:rFonts w:hint="eastAsia" w:ascii="仿宋_GB2312" w:hAnsi="仿宋_GB2312" w:eastAsia="仿宋_GB2312"/>
          <w:sz w:val="32"/>
        </w:rPr>
      </w:pPr>
      <w:r>
        <w:rPr>
          <w:rFonts w:hint="eastAsia" w:ascii="仿宋_GB2312" w:hAnsi="仿宋_GB2312" w:eastAsia="仿宋_GB2312" w:cs="仿宋_GB2312"/>
          <w:sz w:val="32"/>
          <w:szCs w:val="32"/>
        </w:rPr>
        <w:t>审计中心</w:t>
      </w:r>
      <w:r>
        <w:rPr>
          <w:rFonts w:hint="eastAsia" w:ascii="仿宋_GB2312" w:hAnsi="仿宋_GB2312" w:eastAsia="仿宋_GB2312"/>
          <w:sz w:val="32"/>
        </w:rPr>
        <w:t>结合年度公共工程跟踪监督任务，对文明东越江通道、会展中心二期、镇域污水处理厂及配套管网工程等38 个项目采取跟踪审计、预算执行审计、专项审计调查等方式开展审计</w:t>
      </w:r>
      <w:r>
        <w:rPr>
          <w:rFonts w:hint="eastAsia" w:ascii="仿宋_GB2312" w:hAnsi="仿宋_GB2312" w:eastAsia="仿宋_GB2312" w:cs="仿宋_GB2312"/>
          <w:sz w:val="32"/>
          <w:szCs w:val="32"/>
        </w:rPr>
        <w:t>。</w:t>
      </w:r>
      <w:r>
        <w:rPr>
          <w:rFonts w:hint="eastAsia" w:ascii="仿宋_GB2312" w:hAnsi="仿宋_GB2312" w:eastAsia="仿宋_GB2312"/>
          <w:sz w:val="32"/>
        </w:rPr>
        <w:t>紧盯审批、招投标、造价、资金等关键环节及重要岗位，披露未严格履行基本建设程序、工程进度缓慢、串通投标、多计工程造价</w:t>
      </w:r>
      <w:r>
        <w:rPr>
          <w:rFonts w:hint="eastAsia" w:ascii="仿宋_GB2312" w:hAnsi="仿宋_GB2312" w:eastAsia="仿宋_GB2312" w:cs="仿宋_GB2312"/>
          <w:sz w:val="32"/>
          <w:szCs w:val="32"/>
        </w:rPr>
        <w:t>3.63 亿元</w:t>
      </w:r>
      <w:r>
        <w:rPr>
          <w:rFonts w:hint="eastAsia" w:ascii="仿宋_GB2312" w:hAnsi="仿宋_GB2312" w:eastAsia="仿宋_GB2312"/>
          <w:sz w:val="32"/>
        </w:rPr>
        <w:t>等问题，</w:t>
      </w:r>
      <w:r>
        <w:rPr>
          <w:rFonts w:hint="eastAsia" w:ascii="仿宋_GB2312" w:hAnsi="仿宋_GB2312" w:eastAsia="仿宋_GB2312" w:cs="仿宋_GB2312"/>
          <w:sz w:val="32"/>
          <w:szCs w:val="32"/>
        </w:rPr>
        <w:t>共出具审计月报101期、整改建议函42期，移送问题线索5宗，</w:t>
      </w:r>
      <w:r>
        <w:rPr>
          <w:rFonts w:hint="eastAsia" w:ascii="仿宋_GB2312" w:hAnsi="仿宋_GB2312" w:eastAsia="仿宋_GB2312"/>
          <w:sz w:val="32"/>
        </w:rPr>
        <w:t>实现投资审计转型后线索移送零的突破。</w:t>
      </w:r>
    </w:p>
    <w:p>
      <w:pPr>
        <w:numPr>
          <w:numId w:val="0"/>
        </w:numPr>
        <w:spacing w:line="578" w:lineRule="exact"/>
        <w:ind w:firstLine="640" w:firstLineChars="200"/>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全面组织审力，积极落实交办任务</w:t>
      </w:r>
    </w:p>
    <w:p>
      <w:pPr>
        <w:numPr>
          <w:numId w:val="0"/>
        </w:numPr>
        <w:spacing w:line="578" w:lineRule="exact"/>
        <w:ind w:firstLine="640" w:firstLineChars="200"/>
        <w:outlineLvl w:val="0"/>
        <w:rPr>
          <w:rFonts w:hint="eastAsia" w:ascii="楷体_GB2312" w:hAnsi="楷体_GB2312" w:eastAsia="仿宋_GB2312" w:cs="楷体_GB2312"/>
          <w:sz w:val="32"/>
          <w:szCs w:val="32"/>
          <w:lang w:val="en-US" w:eastAsia="zh-CN"/>
        </w:rPr>
      </w:pPr>
      <w:r>
        <w:rPr>
          <w:rFonts w:hint="eastAsia" w:ascii="仿宋_GB2312" w:hAnsi="仿宋_GB2312" w:eastAsia="仿宋_GB2312" w:cs="仿宋_GB2312"/>
          <w:kern w:val="0"/>
          <w:sz w:val="32"/>
          <w:szCs w:val="32"/>
        </w:rPr>
        <w:t>认真落实省审计厅、市委市政府及市审计局交办任务，</w:t>
      </w:r>
      <w:r>
        <w:rPr>
          <w:rFonts w:hint="eastAsia" w:ascii="仿宋_GB2312" w:hAnsi="仿宋_GB2312" w:eastAsia="仿宋_GB2312" w:cs="仿宋_GB2312"/>
          <w:sz w:val="32"/>
          <w:szCs w:val="32"/>
        </w:rPr>
        <w:t>派员3名同志安排4人次参加市委</w:t>
      </w:r>
      <w:r>
        <w:rPr>
          <w:rFonts w:hint="eastAsia" w:ascii="仿宋_GB2312" w:hAnsi="仿宋_GB2312" w:eastAsia="仿宋_GB2312" w:cs="仿宋_GB2312"/>
          <w:sz w:val="32"/>
          <w:szCs w:val="32"/>
          <w:lang w:eastAsia="zh-CN"/>
        </w:rPr>
        <w:t>巡视巡察</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派员2名同志配合省审计厅办理“两个确保”政策落实审计。组织审计骨干积极参与《海口市政府投资项目管理规定》及《海口市政府投资项目代建制管理办法》修订工作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多次参加海口港新海港区和马村港区建设工程PPP项目终止合同谈判工作。共完成市政府交办事项意见回复7件</w:t>
      </w:r>
      <w:r>
        <w:rPr>
          <w:rFonts w:hint="eastAsia" w:ascii="仿宋_GB2312" w:hAnsi="仿宋_GB2312" w:eastAsia="仿宋_GB2312" w:cs="仿宋_GB2312"/>
          <w:sz w:val="32"/>
          <w:szCs w:val="32"/>
          <w:lang w:eastAsia="zh-CN"/>
        </w:rPr>
        <w:t>。</w:t>
      </w:r>
    </w:p>
    <w:p>
      <w:pPr>
        <w:numPr>
          <w:ilvl w:val="0"/>
          <w:numId w:val="2"/>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项目管理情况分析</w:t>
      </w:r>
    </w:p>
    <w:p>
      <w:pPr>
        <w:spacing w:line="560" w:lineRule="exact"/>
        <w:ind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kern w:val="2"/>
          <w:sz w:val="32"/>
          <w:szCs w:val="32"/>
          <w:lang w:val="en-US" w:eastAsia="zh-CN"/>
        </w:rPr>
        <w:t>严格执行《业务会议议事规则》、《主任会议议事规则》、《内控制度管理办法》等制度，做到依法审计、依规审计，多次召开审计中心业务会议，对审计报告及审计方案执行情况进行审核。对涉及调增200万元（或调增比例10%以上）的项目进行集体决策，召开中心主任会议11批次，对重大事项及大额支出进行议定。</w:t>
      </w:r>
    </w:p>
    <w:p>
      <w:pPr>
        <w:spacing w:line="578" w:lineRule="exact"/>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四、项目绩效情况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（一）项目绩效目标完成情况分析</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color w:val="000000"/>
          <w:kern w:val="2"/>
          <w:sz w:val="32"/>
          <w:szCs w:val="32"/>
          <w:lang w:val="en-US" w:eastAsia="zh-CN"/>
        </w:rPr>
        <w:t>财政实际</w:t>
      </w:r>
      <w:r>
        <w:rPr>
          <w:rFonts w:hint="eastAsia" w:ascii="仿宋_GB2312" w:hAnsi="仿宋_GB2312" w:eastAsia="仿宋_GB2312" w:cs="仿宋_GB2312"/>
          <w:bCs/>
          <w:color w:val="000000"/>
          <w:kern w:val="2"/>
          <w:sz w:val="32"/>
          <w:szCs w:val="32"/>
          <w:highlight w:val="none"/>
          <w:lang w:val="en-US" w:eastAsia="zh-CN"/>
        </w:rPr>
        <w:t>安排资金70.43万元，支出</w:t>
      </w:r>
      <w:r>
        <w:rPr>
          <w:rFonts w:hint="eastAsia" w:ascii="仿宋_GB2312" w:hAnsi="仿宋_GB2312" w:eastAsia="仿宋_GB2312" w:cs="仿宋_GB2312"/>
          <w:bCs/>
          <w:color w:val="000000"/>
          <w:sz w:val="32"/>
          <w:szCs w:val="32"/>
          <w:highlight w:val="none"/>
          <w:lang w:val="en-US" w:eastAsia="zh-CN"/>
        </w:rPr>
        <w:t>69.71万元，</w:t>
      </w:r>
      <w:r>
        <w:rPr>
          <w:rFonts w:hint="eastAsia" w:ascii="仿宋_GB2312" w:hAnsi="仿宋_GB2312" w:eastAsia="仿宋_GB2312" w:cs="仿宋_GB2312"/>
          <w:bCs/>
          <w:color w:val="000000"/>
          <w:kern w:val="2"/>
          <w:sz w:val="32"/>
          <w:szCs w:val="32"/>
          <w:highlight w:val="none"/>
          <w:lang w:val="en-US" w:eastAsia="zh-CN"/>
        </w:rPr>
        <w:t>在预算内使用财政资金。</w:t>
      </w:r>
    </w:p>
    <w:p>
      <w:pPr>
        <w:numPr>
          <w:ilvl w:val="0"/>
          <w:numId w:val="3"/>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项目成本（预算）节约情况</w:t>
      </w:r>
    </w:p>
    <w:p>
      <w:pPr>
        <w:numPr>
          <w:numId w:val="0"/>
        </w:numPr>
        <w:spacing w:line="578"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项目资金按照项目进度进行支付，共支出69.71万元，其中工资福利支出50.64万元，商品和服务支出19.07万元。结余资金0.72万元。</w:t>
      </w:r>
    </w:p>
    <w:p>
      <w:pPr>
        <w:tabs>
          <w:tab w:val="left" w:pos="640"/>
        </w:tabs>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spacing w:line="578"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2020年项目绩效目标为完成计划内审计项目及交办项目，本年度计划内</w:t>
      </w:r>
      <w:r>
        <w:rPr>
          <w:rFonts w:hint="eastAsia" w:ascii="仿宋_GB2312" w:hAnsi="仿宋_GB2312" w:eastAsia="仿宋_GB2312" w:cs="仿宋_GB2312"/>
          <w:bCs/>
          <w:color w:val="000000"/>
          <w:sz w:val="32"/>
          <w:szCs w:val="32"/>
          <w:lang w:val="en-US" w:eastAsia="zh-CN"/>
        </w:rPr>
        <w:t>19个公共投资审计项目</w:t>
      </w:r>
      <w:r>
        <w:rPr>
          <w:rFonts w:hint="eastAsia" w:ascii="仿宋_GB2312" w:hAnsi="仿宋_GB2312" w:eastAsia="仿宋_GB2312" w:cs="仿宋_GB2312"/>
          <w:sz w:val="32"/>
          <w:szCs w:val="32"/>
          <w:lang w:val="en-US" w:eastAsia="zh-CN"/>
        </w:rPr>
        <w:t>已全部完成。本年度我单位共完成审计项目38个，其中结算审计项目28个，</w:t>
      </w:r>
      <w:r>
        <w:rPr>
          <w:rFonts w:hint="eastAsia" w:ascii="仿宋_GB2312" w:hAnsi="仿宋_GB2312" w:eastAsia="仿宋_GB2312" w:cs="仿宋_GB2312"/>
          <w:bCs/>
          <w:color w:val="000000"/>
          <w:kern w:val="2"/>
          <w:sz w:val="32"/>
          <w:szCs w:val="32"/>
          <w:lang w:val="en-US" w:eastAsia="zh-CN"/>
        </w:rPr>
        <w:t>跟踪审计项目9个，预算执行审计项目1个。包含</w:t>
      </w:r>
      <w:r>
        <w:rPr>
          <w:rFonts w:hint="eastAsia" w:ascii="仿宋_GB2312" w:hAnsi="仿宋_GB2312" w:eastAsia="仿宋_GB2312" w:cs="仿宋_GB2312"/>
          <w:sz w:val="32"/>
          <w:szCs w:val="32"/>
          <w:lang w:val="en-US" w:eastAsia="zh-CN"/>
        </w:rPr>
        <w:t>计划内投资审计项目19个，其中跟踪审计项目9个，结算审计项目8个，预算执行审计项目1个，投资审计调查项目1个。</w:t>
      </w:r>
    </w:p>
    <w:p>
      <w:pPr>
        <w:numPr>
          <w:ilvl w:val="0"/>
          <w:numId w:val="3"/>
        </w:numPr>
        <w:spacing w:line="578"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项目完成质量</w:t>
      </w:r>
    </w:p>
    <w:p>
      <w:pPr>
        <w:widowControl w:val="0"/>
        <w:numPr>
          <w:numId w:val="0"/>
        </w:numPr>
        <w:spacing w:line="578"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审计局委托社会造价咨询机构对部分审计项目进行工程结算审计或跟踪审计，并派出市工程项目审计中心工程人员担任项目组长，整体把关项目审计工作质量，复核审计结果，重点对工程量、材料价款价差、定额套用、取费标准等进行抽查，有效保证了审计质量。</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 项目的</w:t>
      </w:r>
      <w:r>
        <w:rPr>
          <w:rFonts w:hint="eastAsia" w:ascii="仿宋_GB2312" w:hAnsi="仿宋_GB2312" w:eastAsia="仿宋_GB2312" w:cs="仿宋_GB2312"/>
          <w:sz w:val="32"/>
          <w:szCs w:val="32"/>
        </w:rPr>
        <w:t>效益性分析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我单位2020年度绩效目标为完成19个计划内审计项目及交办项目，</w:t>
      </w:r>
      <w:r>
        <w:rPr>
          <w:rFonts w:hint="eastAsia" w:ascii="仿宋_GB2312" w:hAnsi="仿宋_GB2312" w:eastAsia="仿宋_GB2312" w:cs="仿宋_GB2312"/>
          <w:spacing w:val="-6"/>
          <w:sz w:val="32"/>
          <w:szCs w:val="32"/>
          <w:lang w:val="en-US" w:eastAsia="zh-CN"/>
        </w:rPr>
        <w:t>本年度共完成</w:t>
      </w:r>
      <w:r>
        <w:rPr>
          <w:rFonts w:hint="eastAsia" w:ascii="仿宋_GB2312" w:hAnsi="仿宋_GB2312" w:eastAsia="仿宋_GB2312" w:cs="仿宋_GB2312"/>
          <w:sz w:val="32"/>
          <w:szCs w:val="32"/>
          <w:lang w:val="en-US" w:eastAsia="zh-CN"/>
        </w:rPr>
        <w:t>审计项目并出具审</w:t>
      </w:r>
      <w:r>
        <w:rPr>
          <w:rFonts w:hint="eastAsia" w:ascii="仿宋_GB2312" w:hAnsi="仿宋_GB2312" w:eastAsia="仿宋_GB2312" w:cs="仿宋_GB2312"/>
          <w:sz w:val="32"/>
          <w:szCs w:val="32"/>
          <w:highlight w:val="none"/>
          <w:lang w:val="en-US" w:eastAsia="zh-CN"/>
        </w:rPr>
        <w:t>计报告38个，</w:t>
      </w:r>
      <w:r>
        <w:rPr>
          <w:rFonts w:hint="eastAsia" w:ascii="仿宋_GB2312" w:hAnsi="仿宋_GB2312" w:eastAsia="仿宋_GB2312" w:cs="仿宋_GB2312"/>
          <w:spacing w:val="-6"/>
          <w:sz w:val="32"/>
          <w:szCs w:val="32"/>
          <w:highlight w:val="none"/>
          <w:lang w:val="en-US" w:eastAsia="zh-CN"/>
        </w:rPr>
        <w:t>超额完成了审计项目19个，超额率达100%。</w:t>
      </w:r>
    </w:p>
    <w:p>
      <w:pPr>
        <w:numPr>
          <w:ilvl w:val="0"/>
          <w:numId w:val="4"/>
        </w:numPr>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项目实施对经济和社会的影响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整合巡视、纪委监督资源，扩展审计监督的广度和深度，消除监督盲区。一是加强投资审计项目与“四个平台”的统筹融合和相互衔接，开展结合式、嵌入式投资审计，着力突破投资审计力量有限、内容局限、成效单一的发展瓶颈，扩大审计成果</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采取项目分级实施、上下联动同步实施等方式，增强项目的整体性和宏观性。三是对18个重点项目进行跟踪监督,扩大投资审计覆盖面，共享监督成果，提升监督合力，已移送审计问题线索3件</w:t>
      </w:r>
      <w:r>
        <w:rPr>
          <w:rFonts w:hint="eastAsia" w:ascii="仿宋_GB2312" w:hAnsi="仿宋_GB2312" w:eastAsia="仿宋_GB2312" w:cs="仿宋_GB2312"/>
          <w:sz w:val="32"/>
          <w:szCs w:val="32"/>
          <w:lang w:eastAsia="zh-CN"/>
        </w:rPr>
        <w:t>。</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 项目的可持续性分析</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审计中心将聘用人员经费、项目经费、委托业务费等列入财政预算。在实施审计项目过程中，人员工资福利费用、辅助审计技术服务均得到经费有效保障，项目完成效果甚好。通过对审计业务经费的有效保障、合理支出，全方位发挥公共投资项目审计监督力度。</w:t>
      </w:r>
    </w:p>
    <w:p>
      <w:pPr>
        <w:numPr>
          <w:numId w:val="0"/>
        </w:numPr>
        <w:tabs>
          <w:tab w:val="left" w:pos="878"/>
        </w:tabs>
        <w:spacing w:line="578" w:lineRule="exact"/>
        <w:ind w:left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（二）</w:t>
      </w:r>
      <w:r>
        <w:rPr>
          <w:rFonts w:hint="eastAsia" w:ascii="仿宋_GB2312" w:hAnsi="仿宋_GB2312" w:eastAsia="仿宋_GB2312" w:cs="仿宋_GB2312"/>
          <w:bCs/>
          <w:color w:val="000000"/>
          <w:sz w:val="32"/>
          <w:szCs w:val="32"/>
        </w:rPr>
        <w:t>项目绩效目标未完成原因分析</w:t>
      </w:r>
    </w:p>
    <w:p>
      <w:pPr>
        <w:numPr>
          <w:numId w:val="0"/>
        </w:numPr>
        <w:tabs>
          <w:tab w:val="left" w:pos="878"/>
        </w:tabs>
        <w:spacing w:line="578" w:lineRule="exact"/>
        <w:outlineLvl w:val="0"/>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2020年度项目绩效目标已超额完成。</w:t>
      </w:r>
    </w:p>
    <w:p>
      <w:pPr>
        <w:numPr>
          <w:ilvl w:val="0"/>
          <w:numId w:val="5"/>
        </w:numPr>
        <w:spacing w:line="578" w:lineRule="exact"/>
        <w:ind w:left="640" w:leftChars="0" w:firstLine="0" w:firstLineChars="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综合评价情况及评价结论</w:t>
      </w:r>
    </w:p>
    <w:p>
      <w:p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（一）项目决策（满分20分）</w:t>
      </w:r>
    </w:p>
    <w:p>
      <w:p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审计业务设定绩效目标明确，决策过程经过单位业务部门、综合部门进行统筹研究，资金按照开展进度和需求进行了合理分配。本项评价指标评分20分。</w:t>
      </w:r>
    </w:p>
    <w:p>
      <w:pPr>
        <w:numPr>
          <w:ilvl w:val="0"/>
          <w:numId w:val="0"/>
        </w:numPr>
        <w:spacing w:line="578" w:lineRule="exact"/>
        <w:ind w:left="640" w:leftChars="0"/>
        <w:outlineLvl w:val="0"/>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（二）项目管理（满分25分）</w:t>
      </w:r>
    </w:p>
    <w:p>
      <w:pPr>
        <w:numPr>
          <w:ilvl w:val="0"/>
          <w:numId w:val="0"/>
        </w:num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审计业务项目是当年一次性项目，资金由市财政局一次性拨付，到位率100%。资金使用不存在支出依据不合规、虚列项目支出的情况。本年度按财政过紧日子要求收回</w:t>
      </w:r>
      <w:r>
        <w:rPr>
          <w:rFonts w:hint="eastAsia" w:ascii="仿宋_GB2312" w:hAnsi="仿宋_GB2312" w:eastAsia="仿宋_GB2312" w:cs="仿宋_GB2312"/>
          <w:bCs/>
          <w:color w:val="000000"/>
          <w:sz w:val="32"/>
          <w:szCs w:val="32"/>
          <w:lang w:val="en-US" w:eastAsia="zh-CN"/>
        </w:rPr>
        <w:t>指标2.67万元，</w:t>
      </w:r>
      <w:r>
        <w:rPr>
          <w:rFonts w:hint="eastAsia" w:ascii="仿宋_GB2312" w:hAnsi="仿宋_GB2312" w:eastAsia="仿宋_GB2312" w:cs="仿宋_GB2312"/>
          <w:kern w:val="2"/>
          <w:sz w:val="32"/>
          <w:szCs w:val="32"/>
          <w:lang w:val="en-US" w:eastAsia="zh-CN"/>
        </w:rPr>
        <w:t>按</w:t>
      </w:r>
      <w:r>
        <w:rPr>
          <w:rFonts w:hint="eastAsia" w:ascii="仿宋_GB2312" w:hAnsi="仿宋_GB2312" w:eastAsia="仿宋_GB2312" w:cs="仿宋_GB2312"/>
          <w:bCs/>
          <w:color w:val="000000"/>
          <w:sz w:val="32"/>
          <w:szCs w:val="32"/>
          <w:lang w:val="en-US" w:eastAsia="zh-CN"/>
        </w:rPr>
        <w:t>实际到位资金</w:t>
      </w:r>
      <w:r>
        <w:rPr>
          <w:rFonts w:hint="eastAsia" w:ascii="仿宋_GB2312" w:hAnsi="仿宋_GB2312" w:eastAsia="仿宋_GB2312" w:cs="仿宋_GB2312"/>
          <w:kern w:val="2"/>
          <w:sz w:val="32"/>
          <w:szCs w:val="32"/>
          <w:lang w:val="en-US" w:eastAsia="zh-CN"/>
        </w:rPr>
        <w:t>开支。本项评价指标评分24分。</w:t>
      </w:r>
    </w:p>
    <w:p>
      <w:pPr>
        <w:numPr>
          <w:numId w:val="0"/>
        </w:numPr>
        <w:spacing w:line="578" w:lineRule="exact"/>
        <w:ind w:left="640" w:leftChars="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（三）项目绩效（满分55分）</w:t>
      </w:r>
    </w:p>
    <w:p>
      <w:pPr>
        <w:numPr>
          <w:ilvl w:val="0"/>
          <w:numId w:val="0"/>
        </w:num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完成全年审计项目38个，</w:t>
      </w:r>
      <w:r>
        <w:rPr>
          <w:rFonts w:hint="eastAsia" w:ascii="仿宋_GB2312" w:hAnsi="仿宋_GB2312" w:eastAsia="仿宋_GB2312"/>
          <w:sz w:val="32"/>
        </w:rPr>
        <w:t>披露未严格履行基本建设程序、工程进度缓慢、串通投标、多计工程造价</w:t>
      </w:r>
      <w:r>
        <w:rPr>
          <w:rFonts w:hint="eastAsia" w:ascii="仿宋_GB2312" w:hAnsi="仿宋_GB2312" w:eastAsia="仿宋_GB2312" w:cs="仿宋_GB2312"/>
          <w:sz w:val="32"/>
          <w:szCs w:val="32"/>
        </w:rPr>
        <w:t>3.63 亿元</w:t>
      </w:r>
      <w:r>
        <w:rPr>
          <w:rFonts w:hint="eastAsia" w:ascii="仿宋_GB2312" w:hAnsi="仿宋_GB2312" w:eastAsia="仿宋_GB2312"/>
          <w:sz w:val="32"/>
        </w:rPr>
        <w:t>等问题，</w:t>
      </w:r>
      <w:r>
        <w:rPr>
          <w:rFonts w:hint="eastAsia" w:ascii="仿宋_GB2312" w:hAnsi="仿宋_GB2312" w:eastAsia="仿宋_GB2312" w:cs="仿宋_GB2312"/>
          <w:sz w:val="32"/>
          <w:szCs w:val="32"/>
        </w:rPr>
        <w:t>共出具审计月报101期、整改建议函42期，移送问题线索5宗，</w:t>
      </w:r>
      <w:r>
        <w:rPr>
          <w:rFonts w:hint="eastAsia" w:ascii="仿宋_GB2312" w:hAnsi="仿宋_GB2312" w:eastAsia="仿宋_GB2312"/>
          <w:sz w:val="32"/>
        </w:rPr>
        <w:t>实现投资审计转型后线索移送零的突破。</w:t>
      </w:r>
      <w:r>
        <w:rPr>
          <w:rFonts w:hint="eastAsia" w:ascii="仿宋_GB2312" w:hAnsi="仿宋_GB2312" w:eastAsia="仿宋_GB2312"/>
          <w:sz w:val="32"/>
          <w:lang w:eastAsia="zh-CN"/>
        </w:rPr>
        <w:t>同时由于审计任务重，时间紧，在产出时效、环境效益等方面仍有欠缺，</w:t>
      </w:r>
      <w:r>
        <w:rPr>
          <w:rFonts w:hint="eastAsia" w:ascii="仿宋_GB2312" w:hAnsi="仿宋_GB2312" w:eastAsia="仿宋_GB2312" w:cs="仿宋_GB2312"/>
          <w:kern w:val="2"/>
          <w:sz w:val="32"/>
          <w:szCs w:val="32"/>
          <w:lang w:val="en-US" w:eastAsia="zh-CN"/>
        </w:rPr>
        <w:t>本项评价指标评分52分。</w:t>
      </w:r>
    </w:p>
    <w:p>
      <w:pPr>
        <w:numPr>
          <w:ilvl w:val="0"/>
          <w:numId w:val="0"/>
        </w:numPr>
        <w:spacing w:line="578" w:lineRule="exact"/>
        <w:ind w:firstLine="640"/>
        <w:outlineLvl w:val="0"/>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0"/>
          <w:sz w:val="32"/>
          <w:szCs w:val="32"/>
          <w:lang w:eastAsia="zh-CN"/>
        </w:rPr>
        <w:t>综合上述，项目绩效指标自评得分</w:t>
      </w:r>
      <w:r>
        <w:rPr>
          <w:rFonts w:hint="eastAsia" w:ascii="仿宋_GB2312" w:hAnsi="仿宋_GB2312" w:eastAsia="仿宋_GB2312" w:cs="仿宋_GB2312"/>
          <w:kern w:val="0"/>
          <w:sz w:val="32"/>
          <w:szCs w:val="32"/>
          <w:lang w:val="en-US" w:eastAsia="zh-CN"/>
        </w:rPr>
        <w:t>96分。</w:t>
      </w:r>
    </w:p>
    <w:p>
      <w:pPr>
        <w:numPr>
          <w:ilvl w:val="0"/>
          <w:numId w:val="5"/>
        </w:numPr>
        <w:spacing w:line="578" w:lineRule="exact"/>
        <w:ind w:left="640" w:leftChars="0" w:firstLine="0" w:firstLineChars="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主要经验及做法、存在的问题和建议</w:t>
      </w:r>
    </w:p>
    <w:p>
      <w:pPr>
        <w:numPr>
          <w:ilvl w:val="0"/>
          <w:numId w:val="6"/>
        </w:numPr>
        <w:spacing w:line="578" w:lineRule="exact"/>
        <w:ind w:firstLine="640" w:firstLineChars="200"/>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强化“两统筹”，助力投资审计提质增效</w:t>
      </w:r>
    </w:p>
    <w:p>
      <w:pPr>
        <w:numPr>
          <w:numId w:val="0"/>
        </w:numPr>
        <w:spacing w:line="578" w:lineRule="exact"/>
        <w:outlineLvl w:val="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强化推进项目统筹，扩展投资审计广度。二是强化组织方式统筹，市区两级协同审计。三是强化部门协同、审巡结合开展跟踪监督。</w:t>
      </w:r>
    </w:p>
    <w:p>
      <w:pPr>
        <w:numPr>
          <w:ilvl w:val="0"/>
          <w:numId w:val="6"/>
        </w:numPr>
        <w:spacing w:line="578" w:lineRule="exact"/>
        <w:ind w:firstLine="640" w:firstLineChars="200"/>
        <w:outlineLvl w:val="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夯实大数据基础建设，加强审计技术保障</w:t>
      </w:r>
    </w:p>
    <w:p>
      <w:pPr>
        <w:numPr>
          <w:numId w:val="0"/>
        </w:numPr>
        <w:spacing w:line="578"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一是加强基础大数据采集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完成财政指标、核算、决算、国企4类基础数据收集工作，建立油卡、车辆、房产、贫困户4类外部数据查询机制。二是建立常态化数据报送机制，率先实现对15家市属国有企业及其106家子公司财务数据采集全覆盖</w:t>
      </w:r>
      <w:r>
        <w:rPr>
          <w:rFonts w:hint="eastAsia" w:ascii="仿宋_GB2312" w:hAnsi="仿宋_GB2312" w:eastAsia="仿宋_GB2312" w:cs="仿宋_GB2312"/>
          <w:sz w:val="32"/>
          <w:szCs w:val="32"/>
          <w:lang w:eastAsia="zh-CN"/>
        </w:rPr>
        <w:t>。</w:t>
      </w:r>
    </w:p>
    <w:p>
      <w:pPr>
        <w:numPr>
          <w:ilvl w:val="0"/>
          <w:numId w:val="6"/>
        </w:numPr>
        <w:spacing w:line="578" w:lineRule="exact"/>
        <w:ind w:left="0" w:leftChars="0" w:firstLine="640" w:firstLineChars="200"/>
        <w:outlineLvl w:val="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加强“六种”能力学习，提升审计干部综合素质</w:t>
      </w:r>
    </w:p>
    <w:p>
      <w:pPr>
        <w:numPr>
          <w:numId w:val="0"/>
        </w:numPr>
        <w:spacing w:line="578" w:lineRule="exact"/>
        <w:ind w:firstLine="640" w:firstLineChars="200"/>
        <w:outlineLvl w:val="0"/>
        <w:rPr>
          <w:rFonts w:hint="eastAsia" w:ascii="楷体_GB2312" w:hAnsi="楷体_GB2312" w:eastAsia="楷体_GB2312" w:cs="楷体_GB2312"/>
          <w:sz w:val="32"/>
          <w:szCs w:val="32"/>
          <w:lang w:eastAsia="zh-CN"/>
        </w:rPr>
      </w:pPr>
      <w:r>
        <w:rPr>
          <w:rFonts w:hint="eastAsia" w:ascii="仿宋_GB2312" w:hAnsi="仿宋_GB2312" w:eastAsia="仿宋_GB2312" w:cs="仿宋_GB2312"/>
          <w:kern w:val="0"/>
          <w:sz w:val="32"/>
          <w:szCs w:val="32"/>
          <w:lang w:val="en-US" w:eastAsia="zh-CN"/>
        </w:rPr>
        <w:t>建立审计效能与业务能力的“双通道”，以项目淬炼综合素质，以能力提升审计效能。通过审前廉政谈话、领导现场检查、审中业务会议分析、提炼编写审计信息等方式，加强审计执行力，取得了较好的审计成果。</w:t>
      </w:r>
    </w:p>
    <w:p>
      <w:pPr>
        <w:numPr>
          <w:ilvl w:val="0"/>
          <w:numId w:val="5"/>
        </w:numPr>
        <w:spacing w:line="578" w:lineRule="exact"/>
        <w:ind w:left="640" w:leftChars="0" w:firstLine="0" w:firstLineChars="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其他需说明的问题</w:t>
      </w:r>
    </w:p>
    <w:p>
      <w:pPr>
        <w:numPr>
          <w:numId w:val="0"/>
        </w:numPr>
        <w:spacing w:line="578" w:lineRule="exact"/>
        <w:ind w:left="0" w:leftChars="0"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lang w:val="en-US" w:eastAsia="zh-CN"/>
        </w:rPr>
        <w:t>2020年市工程项目审计中心通过</w:t>
      </w:r>
      <w:r>
        <w:rPr>
          <w:rFonts w:hint="eastAsia" w:ascii="仿宋_GB2312" w:hAnsi="仿宋_GB2312" w:eastAsia="仿宋_GB2312" w:cs="仿宋_GB2312"/>
          <w:kern w:val="0"/>
          <w:sz w:val="32"/>
          <w:szCs w:val="32"/>
          <w:lang w:eastAsia="zh-CN"/>
        </w:rPr>
        <w:t>加强领导、完善制度、加强督促检查，不断强化项目资金管理，确</w:t>
      </w:r>
      <w:r>
        <w:rPr>
          <w:rFonts w:hint="eastAsia" w:ascii="仿宋_GB2312" w:hAnsi="仿宋_GB2312" w:eastAsia="仿宋_GB2312" w:cs="仿宋_GB2312"/>
          <w:kern w:val="0"/>
          <w:sz w:val="32"/>
          <w:szCs w:val="32"/>
          <w:lang w:val="en-US" w:eastAsia="zh-CN"/>
        </w:rPr>
        <w:t>保各项工作实施顺利并取得显著成效。但由于目前审计任务重、人手少，审计全覆盖的要求与现有审力不足之间，审计队伍专业能力与审计工作新要求之间均存在不同差距，我单位需</w:t>
      </w:r>
      <w:r>
        <w:rPr>
          <w:rFonts w:hint="eastAsia" w:ascii="仿宋_GB2312" w:hAnsi="仿宋_GB2312" w:eastAsia="仿宋_GB2312" w:cs="仿宋_GB2312"/>
          <w:sz w:val="32"/>
          <w:szCs w:val="32"/>
          <w:highlight w:val="none"/>
          <w:lang w:val="en-US" w:eastAsia="zh-CN"/>
        </w:rPr>
        <w:t>引导审计干部拓宽学习培训内容，加强与省审计厅及其他市县审计部门业务交流，以审代学、以审代训，</w:t>
      </w:r>
      <w:r>
        <w:rPr>
          <w:rFonts w:hint="eastAsia" w:ascii="仿宋_GB2312" w:hAnsi="仿宋_GB2312" w:eastAsia="仿宋_GB2312" w:cs="仿宋_GB2312"/>
          <w:kern w:val="0"/>
          <w:sz w:val="32"/>
          <w:szCs w:val="32"/>
          <w:lang w:eastAsia="zh-CN"/>
        </w:rPr>
        <w:t>因此我单位</w:t>
      </w:r>
      <w:bookmarkStart w:id="2" w:name="_GoBack"/>
      <w:bookmarkEnd w:id="2"/>
      <w:r>
        <w:rPr>
          <w:rFonts w:hint="eastAsia" w:ascii="仿宋_GB2312" w:hAnsi="仿宋_GB2312" w:eastAsia="仿宋_GB2312" w:cs="仿宋_GB2312"/>
          <w:kern w:val="0"/>
          <w:sz w:val="32"/>
          <w:szCs w:val="32"/>
          <w:lang w:eastAsia="zh-CN"/>
        </w:rPr>
        <w:t>仍需加大审计业务资金保障力度，以提高审计效率。</w:t>
      </w:r>
    </w:p>
    <w:p/>
    <w:sectPr>
      <w:pgSz w:w="11906" w:h="16838"/>
      <w:pgMar w:top="2098" w:right="1587"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AA10F1"/>
    <w:multiLevelType w:val="singleLevel"/>
    <w:tmpl w:val="96AA10F1"/>
    <w:lvl w:ilvl="0" w:tentative="0">
      <w:start w:val="1"/>
      <w:numFmt w:val="chineseCounting"/>
      <w:suff w:val="nothing"/>
      <w:lvlText w:val="（%1）"/>
      <w:lvlJc w:val="left"/>
      <w:rPr>
        <w:rFonts w:hint="eastAsia"/>
      </w:rPr>
    </w:lvl>
  </w:abstractNum>
  <w:abstractNum w:abstractNumId="1">
    <w:nsid w:val="AFE9EF24"/>
    <w:multiLevelType w:val="singleLevel"/>
    <w:tmpl w:val="AFE9EF24"/>
    <w:lvl w:ilvl="0" w:tentative="0">
      <w:start w:val="2"/>
      <w:numFmt w:val="decimal"/>
      <w:suff w:val="nothing"/>
      <w:lvlText w:val="（%1）"/>
      <w:lvlJc w:val="left"/>
    </w:lvl>
  </w:abstractNum>
  <w:abstractNum w:abstractNumId="2">
    <w:nsid w:val="0672F8C1"/>
    <w:multiLevelType w:val="singleLevel"/>
    <w:tmpl w:val="0672F8C1"/>
    <w:lvl w:ilvl="0" w:tentative="0">
      <w:start w:val="2"/>
      <w:numFmt w:val="chineseCounting"/>
      <w:suff w:val="nothing"/>
      <w:lvlText w:val="（%1）"/>
      <w:lvlJc w:val="left"/>
      <w:rPr>
        <w:rFonts w:hint="eastAsia"/>
      </w:rPr>
    </w:lvl>
  </w:abstractNum>
  <w:abstractNum w:abstractNumId="3">
    <w:nsid w:val="0DD0EBD3"/>
    <w:multiLevelType w:val="singleLevel"/>
    <w:tmpl w:val="0DD0EBD3"/>
    <w:lvl w:ilvl="0" w:tentative="0">
      <w:start w:val="2"/>
      <w:numFmt w:val="decimal"/>
      <w:suff w:val="nothing"/>
      <w:lvlText w:val="（%1）"/>
      <w:lvlJc w:val="left"/>
    </w:lvl>
  </w:abstractNum>
  <w:abstractNum w:abstractNumId="4">
    <w:nsid w:val="21D83A1F"/>
    <w:multiLevelType w:val="singleLevel"/>
    <w:tmpl w:val="21D83A1F"/>
    <w:lvl w:ilvl="0" w:tentative="0">
      <w:start w:val="2"/>
      <w:numFmt w:val="chineseCounting"/>
      <w:suff w:val="nothing"/>
      <w:lvlText w:val="（%1）"/>
      <w:lvlJc w:val="left"/>
      <w:rPr>
        <w:rFonts w:hint="eastAsia"/>
      </w:rPr>
    </w:lvl>
  </w:abstractNum>
  <w:abstractNum w:abstractNumId="5">
    <w:nsid w:val="2BAE585D"/>
    <w:multiLevelType w:val="singleLevel"/>
    <w:tmpl w:val="2BAE585D"/>
    <w:lvl w:ilvl="0" w:tentative="0">
      <w:start w:val="5"/>
      <w:numFmt w:val="chineseCounting"/>
      <w:suff w:val="nothing"/>
      <w:lvlText w:val="%1、"/>
      <w:lvlJc w:val="left"/>
      <w:pPr>
        <w:ind w:left="640" w:leftChars="0" w:firstLine="0" w:firstLineChars="0"/>
      </w:pPr>
      <w:rPr>
        <w:rFonts w:hint="eastAsia"/>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AC2AA2"/>
    <w:rsid w:val="0CE22F77"/>
    <w:rsid w:val="0FD51A2C"/>
    <w:rsid w:val="1228638A"/>
    <w:rsid w:val="1C2F2A35"/>
    <w:rsid w:val="244116BF"/>
    <w:rsid w:val="259432D3"/>
    <w:rsid w:val="28442410"/>
    <w:rsid w:val="294C5042"/>
    <w:rsid w:val="2B50034A"/>
    <w:rsid w:val="31A93646"/>
    <w:rsid w:val="3359396E"/>
    <w:rsid w:val="34450B3B"/>
    <w:rsid w:val="36B201BD"/>
    <w:rsid w:val="3C454953"/>
    <w:rsid w:val="3F63786F"/>
    <w:rsid w:val="4400059A"/>
    <w:rsid w:val="46B40225"/>
    <w:rsid w:val="4EAF4FFC"/>
    <w:rsid w:val="4F816AD5"/>
    <w:rsid w:val="5013043C"/>
    <w:rsid w:val="51D5308A"/>
    <w:rsid w:val="52860234"/>
    <w:rsid w:val="55380786"/>
    <w:rsid w:val="5CBF0EAC"/>
    <w:rsid w:val="5CE91609"/>
    <w:rsid w:val="5E6837DD"/>
    <w:rsid w:val="5F353FCD"/>
    <w:rsid w:val="69990431"/>
    <w:rsid w:val="6CAA4B41"/>
    <w:rsid w:val="6EBD6195"/>
    <w:rsid w:val="76D01A99"/>
    <w:rsid w:val="7CAC1743"/>
    <w:rsid w:val="7CC11E64"/>
    <w:rsid w:val="7DEE3A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列出段落"/>
    <w:basedOn w:val="1"/>
    <w:qFormat/>
    <w:uiPriority w:val="0"/>
    <w:pPr>
      <w:spacing w:line="360" w:lineRule="auto"/>
      <w:ind w:firstLine="420" w:firstLineChars="200"/>
    </w:pPr>
    <w:rPr>
      <w:rFonts w:ascii="Calibri" w:hAnsi="Calibri" w:eastAsia="宋体"/>
      <w:sz w:val="28"/>
      <w:szCs w:val="22"/>
    </w:rPr>
  </w:style>
  <w:style w:type="paragraph" w:customStyle="1" w:styleId="6">
    <w:name w:val="Normal (Web)"/>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李薇薇</cp:lastModifiedBy>
  <cp:lastPrinted>2021-04-16T08:15:41Z</cp:lastPrinted>
  <dcterms:modified xsi:type="dcterms:W3CDTF">2021-04-16T09:16:25Z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