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eastAsia="黑体"/>
          <w:sz w:val="52"/>
          <w:szCs w:val="52"/>
          <w:lang w:eastAsia="zh-CN"/>
        </w:rPr>
      </w:pPr>
      <w:r>
        <w:rPr>
          <w:rFonts w:hint="eastAsia" w:ascii="黑体" w:hAnsi="黑体" w:eastAsia="黑体"/>
          <w:sz w:val="52"/>
          <w:szCs w:val="52"/>
          <w:lang w:val="en-US" w:eastAsia="zh-CN"/>
        </w:rPr>
        <w:t>2021</w:t>
      </w:r>
      <w:r>
        <w:rPr>
          <w:rFonts w:hint="eastAsia" w:ascii="黑体" w:hAnsi="黑体" w:eastAsia="黑体"/>
          <w:sz w:val="52"/>
          <w:szCs w:val="52"/>
        </w:rPr>
        <w:t>年</w:t>
      </w:r>
      <w:r>
        <w:rPr>
          <w:rFonts w:hint="eastAsia" w:ascii="黑体" w:hAnsi="黑体" w:eastAsia="黑体"/>
          <w:sz w:val="52"/>
          <w:szCs w:val="52"/>
          <w:lang w:eastAsia="zh-CN"/>
        </w:rPr>
        <w:t>海口市审计局</w:t>
      </w:r>
      <w:r>
        <w:rPr>
          <w:rFonts w:hint="eastAsia" w:ascii="黑体" w:hAnsi="黑体" w:eastAsia="黑体"/>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1"/>
          <w:numId w:val="0"/>
        </w:numPr>
        <w:ind w:left="0" w:firstLine="0" w:firstLineChars="0"/>
        <w:jc w:val="left"/>
        <w:rPr>
          <w:rFonts w:hint="eastAsia" w:ascii="仿宋_GB2312" w:hAnsi="黑体" w:eastAsia="仿宋_GB2312" w:cs="仿宋_GB2312"/>
          <w:sz w:val="32"/>
          <w:szCs w:val="32"/>
          <w:lang w:eastAsia="zh-CN"/>
        </w:rPr>
      </w:pPr>
      <w:r>
        <w:rPr>
          <w:rFonts w:hint="eastAsia" w:ascii="黑体" w:hAnsi="黑体" w:eastAsia="黑体"/>
          <w:sz w:val="32"/>
          <w:szCs w:val="32"/>
          <w:lang w:eastAsia="zh-CN"/>
        </w:rPr>
        <w:t>二、</w:t>
      </w: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cs="黑体"/>
          <w:sz w:val="32"/>
          <w:szCs w:val="32"/>
          <w:lang w:val="en-US" w:eastAsia="zh-CN"/>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海口市审计局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1"/>
          <w:numId w:val="0"/>
        </w:numPr>
        <w:ind w:left="-11"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（一）负责拟订并组织实施全市审计工作政策措施、规章制度和发展规划，研究提出本市推进中国（海南）自由贸易试验区、中国特色自由贸易港建设有关审计方面的意见和建议。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二）负责对市本级、各区、各开发区财政收支和法律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三）负责向市委审计委员会提出年度市本级预算执行和其他财政支出情况的审计报告；向市政府和省审计厅提出年度市本级预算执行和其他财政收支情况的审计结果报告；受市政府委托向市人大常委会提出市本级预算执行和其他财政收支情况的审计工作报告、审计查出问题整改情况报告；向市委、市政府和省审计厅报告对其他事项的审计和专项审计调查情况及结果；向各区委、区政府和市级有关部门通报审计情况和审计结果；依法向社会公布审计结果。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四）依法直接审计下列事项，出具审计报告，在法定职权范围内作出审计决定：国家、省和市有关重大政策措施贯彻落实情况；市本级预算执行情况和其他财政收支，市本级各部门（含直属单位）预算执行情况、决算草案和其他财政收支；区政府预算执行情况、决算草案和其他财政收支，中央、省和市财政转移支付资金；开发区预算执行情况、决算草案和其他财政收支；使用中央、省和市财政资金的事业单位和社会团体的财务收支；市本级投资和以市本级投资为主的建设项目的预算执行情况和决算，市重大公共工程项目的资金管理使用和建设运营情况；自然资源管理、污染防治和生态保护与修复情况；市属国有企业、市属国有资本占控股或主导地位的企业资产、负债和损益，市本级驻外非经营性机构的财务收支；有关社会保障基金、社会捐赠资金和其他基金、资金的财务收支；国际组织和外国政府援助、贷款项目；法律法规规定的其他事项。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（五）按规定对各区党政、市本级各部门和开发区（不含海口综合保税区、海口国家高新技术产业开发区）主要领导干部及其他单位主要负责人实施经济责任审计和自然资源资产离任审计。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（六）负责组织实施对财经法律法规、规章、政策和宏观调控措施执行情况、财政预算管理及国有资产管理使用等与财政收支有关的特定事项进行专项审计调查。</w:t>
      </w:r>
    </w:p>
    <w:p>
      <w:pPr>
        <w:pStyle w:val="6"/>
        <w:numPr>
          <w:ilvl w:val="0"/>
          <w:numId w:val="0"/>
        </w:numPr>
        <w:ind w:firstLine="640" w:firstLineChars="200"/>
        <w:jc w:val="left"/>
        <w:rPr>
          <w:rFonts w:hint="eastAsia" w:ascii="黑体" w:hAnsi="黑体" w:eastAsia="黑体"/>
          <w:sz w:val="32"/>
          <w:szCs w:val="32"/>
        </w:rPr>
      </w:pPr>
      <w:r>
        <w:rPr>
          <w:rFonts w:hint="eastAsia" w:ascii="仿宋_GB2312" w:hAnsi="黑体" w:eastAsia="仿宋_GB2312" w:cs="仿宋_GB2312"/>
          <w:sz w:val="32"/>
          <w:szCs w:val="32"/>
        </w:rPr>
        <w:t>（七）依法检查审计决定执行情况，督促整改审计查出的问题，依法办理被审计单位对审计决定提请行政复议、诉讼以及市政府裁决中的有关事项，协助配合有关部门查处相关重大案件。</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（八）负责指导、监督内部审计工作，核查社会审计机构对依法属于审计监督对象的单位出具的相关审计报告。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九）与各区党委和政府共同领导区级审计机关；依法领导和监督区级审计机关业务，组织区级审计机关实施特定项目的专项审计或审计调查，纠正或责成纠正区级审计机关违反国家规定作出的审计决定；按照干部管理权限协管区审计机关负责人。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（十）组织开展审计领域对外交流合作，指导和推广信息技术在审计领域的运用。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（十一）完成市委、市政府和上级部门交办的其他任务。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二）职能转变。进一步完善审计管理体制，加强全市审计工作统筹，明晰市、区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6"/>
        <w:numPr>
          <w:ilvl w:val="-1"/>
          <w:numId w:val="0"/>
        </w:numPr>
        <w:ind w:left="0" w:firstLine="0" w:firstLineChars="0"/>
        <w:jc w:val="left"/>
        <w:rPr>
          <w:rFonts w:ascii="黑体" w:hAnsi="黑体" w:eastAsia="黑体" w:cs="仿宋_GB2312"/>
          <w:sz w:val="32"/>
          <w:szCs w:val="32"/>
        </w:rPr>
      </w:pPr>
    </w:p>
    <w:p>
      <w:pPr>
        <w:pStyle w:val="6"/>
        <w:numPr>
          <w:ilvl w:val="-1"/>
          <w:numId w:val="0"/>
        </w:numPr>
        <w:ind w:left="630" w:firstLine="0" w:firstLineChars="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pStyle w:val="6"/>
        <w:numPr>
          <w:ilvl w:val="0"/>
          <w:numId w:val="5"/>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海口市审计局本级</w:t>
      </w:r>
    </w:p>
    <w:p>
      <w:pPr>
        <w:pStyle w:val="6"/>
        <w:numPr>
          <w:ilvl w:val="0"/>
          <w:numId w:val="5"/>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海口市工程项目审计中心（下属单位）</w:t>
      </w:r>
    </w:p>
    <w:p>
      <w:pPr>
        <w:ind w:left="0"/>
        <w:jc w:val="left"/>
        <w:rPr>
          <w:rFonts w:ascii="仿宋_GB2312" w:hAnsi="黑体" w:eastAsia="仿宋_GB2312" w:cs="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cs="黑体"/>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海口市审计局</w:t>
      </w:r>
      <w:r>
        <w:rPr>
          <w:rFonts w:hint="eastAsia" w:ascii="黑体" w:hAnsi="黑体" w:eastAsia="黑体" w:cs="黑体"/>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海口市审计局</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2758.69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2758.69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2758.69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2758.69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2412.98</w:t>
      </w:r>
      <w:r>
        <w:rPr>
          <w:rFonts w:hint="eastAsia" w:ascii="仿宋_GB2312" w:hAnsi="黑体" w:eastAsia="仿宋_GB2312"/>
          <w:sz w:val="32"/>
          <w:szCs w:val="32"/>
        </w:rPr>
        <w:t>万元、社会保障和就业支出140.09</w:t>
      </w:r>
      <w:r>
        <w:rPr>
          <w:rFonts w:hint="eastAsia" w:ascii="仿宋_GB2312" w:hAnsi="黑体" w:eastAsia="仿宋_GB2312"/>
          <w:sz w:val="32"/>
          <w:szCs w:val="32"/>
          <w:lang w:eastAsia="zh-CN"/>
        </w:rPr>
        <w:t>万元</w:t>
      </w:r>
      <w:r>
        <w:rPr>
          <w:rFonts w:hint="eastAsia" w:ascii="仿宋_GB2312" w:hAnsi="黑体" w:eastAsia="仿宋_GB2312"/>
          <w:sz w:val="32"/>
          <w:szCs w:val="32"/>
        </w:rPr>
        <w:t>，卫生健康支出127.37</w:t>
      </w:r>
      <w:r>
        <w:rPr>
          <w:rFonts w:hint="eastAsia" w:ascii="仿宋_GB2312" w:hAnsi="黑体" w:eastAsia="仿宋_GB2312"/>
          <w:sz w:val="32"/>
          <w:szCs w:val="32"/>
          <w:lang w:eastAsia="zh-CN"/>
        </w:rPr>
        <w:t>万元，住房保障支出78.25万元，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海口市审计局</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2758.69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801.96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职能转变，政府投资项目委托业务费支出减少。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一般公共服务（类）支出2412.98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87.49</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（类）140.09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5.07</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w:t>
      </w:r>
      <w:r>
        <w:rPr>
          <w:rFonts w:hint="eastAsia" w:ascii="仿宋_GB2312" w:hAnsi="黑体" w:eastAsia="仿宋_GB2312"/>
          <w:sz w:val="32"/>
          <w:szCs w:val="32"/>
        </w:rPr>
        <w:t>127.37万元，占</w:t>
      </w:r>
      <w:r>
        <w:rPr>
          <w:rFonts w:hint="eastAsia" w:ascii="仿宋_GB2312" w:hAnsi="黑体" w:eastAsia="仿宋_GB2312" w:cs="仿宋_GB2312"/>
          <w:sz w:val="32"/>
          <w:szCs w:val="32"/>
          <w:lang w:val="en-US" w:eastAsia="zh-CN"/>
        </w:rPr>
        <w:t>4.61</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w:t>
      </w:r>
      <w:r>
        <w:rPr>
          <w:rFonts w:hint="eastAsia" w:ascii="仿宋_GB2312" w:hAnsi="黑体" w:eastAsia="仿宋_GB2312"/>
          <w:sz w:val="32"/>
          <w:szCs w:val="32"/>
        </w:rPr>
        <w:t>78.25万元，占</w:t>
      </w:r>
      <w:r>
        <w:rPr>
          <w:rFonts w:hint="eastAsia" w:ascii="仿宋_GB2312" w:hAnsi="黑体" w:eastAsia="仿宋_GB2312" w:cs="仿宋_GB2312"/>
          <w:sz w:val="32"/>
          <w:szCs w:val="32"/>
          <w:lang w:val="en-US" w:eastAsia="zh-CN"/>
        </w:rPr>
        <w:t>2.83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1.一般公共服务（类）审计事务（款）行政运行（项）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770.44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92.24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w:t>
      </w:r>
      <w:r>
        <w:rPr>
          <w:rFonts w:hint="eastAsia" w:ascii="仿宋_GB2312" w:hAnsi="黑体" w:eastAsia="仿宋_GB2312"/>
          <w:sz w:val="32"/>
          <w:szCs w:val="32"/>
          <w:lang w:val="en-US" w:eastAsia="zh-CN"/>
        </w:rPr>
        <w:t>5名调入人员，相应的人员工资、社保、办公经费等增加。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一般公共服务（类）审计事务（款）一般行政管理事务（项）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1310</w:t>
      </w:r>
      <w:r>
        <w:rPr>
          <w:rFonts w:hint="eastAsia" w:ascii="仿宋_GB2312" w:hAnsi="黑体" w:eastAsia="仿宋_GB2312" w:cs="仿宋_GB2312"/>
          <w:sz w:val="32"/>
          <w:szCs w:val="32"/>
          <w:lang w:val="en-US" w:eastAsia="zh-CN"/>
        </w:rPr>
        <w:t>.00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899.00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职能转变，政府投资项目委托业务费减少。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一般公共服务（类）审计事务（款）事业运行（项）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242.54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市工程项目审计中心人员工资、社保等减少。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一般公共服务（类）审计事务（款）其他审计事务支出（项）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市工程项目审计中心项目预算数不变。</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106.86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4.21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人员和基本养老保险基数增加</w:t>
      </w:r>
      <w:r>
        <w:rPr>
          <w:rFonts w:hint="eastAsia" w:ascii="仿宋_GB2312" w:hAnsi="黑体" w:eastAsia="仿宋_GB2312"/>
          <w:sz w:val="32"/>
          <w:szCs w:val="32"/>
          <w:lang w:val="en-US"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33.23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10.53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养老金调资，增加退休人员医疗费补助</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38.01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w:t>
      </w:r>
      <w:r>
        <w:rPr>
          <w:rFonts w:hint="eastAsia" w:ascii="仿宋_GB2312" w:hAnsi="黑体" w:eastAsia="仿宋_GB2312"/>
          <w:sz w:val="32"/>
          <w:szCs w:val="32"/>
          <w:highlight w:val="none"/>
        </w:rPr>
        <w:t>元，主要是</w:t>
      </w:r>
      <w:r>
        <w:rPr>
          <w:rFonts w:hint="eastAsia" w:ascii="仿宋_GB2312" w:hAnsi="黑体" w:eastAsia="仿宋_GB2312"/>
          <w:sz w:val="32"/>
          <w:szCs w:val="32"/>
          <w:highlight w:val="none"/>
          <w:lang w:eastAsia="zh-CN"/>
        </w:rPr>
        <w:t>基本医疗保险缴费基数增加。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.卫生健康支出（类）行政事业单位医疗（款）事业单位医疗（项）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18.76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基本医疗保险缴费基数增加。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48.88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市审计局本级增加</w:t>
      </w:r>
      <w:r>
        <w:rPr>
          <w:rFonts w:hint="eastAsia" w:ascii="仿宋_GB2312" w:hAnsi="黑体" w:eastAsia="仿宋_GB2312"/>
          <w:sz w:val="32"/>
          <w:szCs w:val="32"/>
          <w:lang w:val="en-US" w:eastAsia="zh-CN"/>
        </w:rPr>
        <w:t>5名调入人员</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.卫生健康支出（类）行政事业单位医疗（款）其他行政事业单位医疗支出（项）</w:t>
      </w:r>
      <w:r>
        <w:rPr>
          <w:rFonts w:hint="eastAsia" w:ascii="仿宋_GB2312" w:hAnsi="黑体" w:eastAsia="仿宋_GB2312" w:cs="仿宋_GB2312"/>
          <w:sz w:val="32"/>
          <w:szCs w:val="32"/>
          <w:highlight w:val="none"/>
          <w:lang w:val="en-US" w:eastAsia="zh-CN"/>
        </w:rPr>
        <w:t>2021</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21.73</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0.84</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市工程项目审计中心人员公务员医疗补助基数减少。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78.25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6.38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人员和缴费基数增加</w:t>
      </w:r>
      <w:r>
        <w:rPr>
          <w:rFonts w:hint="eastAsia" w:ascii="仿宋_GB2312" w:hAnsi="黑体" w:eastAsia="仿宋_GB2312"/>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海口市审计局</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海口市审计局（部门）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1358.69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1212.82</w:t>
      </w:r>
      <w:r>
        <w:rPr>
          <w:rFonts w:hint="eastAsia" w:ascii="仿宋_GB2312" w:hAnsi="黑体" w:eastAsia="仿宋_GB2312"/>
          <w:sz w:val="32"/>
          <w:szCs w:val="32"/>
        </w:rPr>
        <w:t>万元，主要包括：基本工资、津贴补贴、奖金、社会保障缴费、住房公积金</w:t>
      </w:r>
      <w:r>
        <w:rPr>
          <w:rFonts w:hint="eastAsia" w:ascii="仿宋_GB2312" w:hAnsi="黑体" w:eastAsia="仿宋_GB2312"/>
          <w:sz w:val="32"/>
          <w:szCs w:val="32"/>
          <w:lang w:eastAsia="zh-CN"/>
        </w:rPr>
        <w:t>、其他工资福利支出、其他交通费用、奖励金等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145.87</w:t>
      </w:r>
      <w:r>
        <w:rPr>
          <w:rFonts w:hint="eastAsia" w:ascii="仿宋_GB2312" w:hAnsi="黑体" w:eastAsia="仿宋_GB2312"/>
          <w:sz w:val="32"/>
          <w:szCs w:val="32"/>
        </w:rPr>
        <w:t>万元，主要包括：办公费、印刷费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咨询费、手续费、邮电费</w:t>
      </w:r>
      <w:r>
        <w:rPr>
          <w:rFonts w:hint="eastAsia" w:ascii="仿宋_GB2312" w:hAnsi="黑体" w:eastAsia="仿宋_GB2312"/>
          <w:sz w:val="32"/>
          <w:szCs w:val="32"/>
          <w:lang w:eastAsia="zh-CN"/>
        </w:rPr>
        <w:t>、差旅费、维修(护)费、租赁费、会议费、培训费、专用材料费、委托业务费、工会经费、公务用车运行维护费、其他商品和服务支出等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8.65</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8.05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8.05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70.16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减少公车购置费</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0.6</w:t>
      </w:r>
      <w:r>
        <w:rPr>
          <w:rFonts w:ascii="Times New Roman" w:hAnsi="Times New Roman" w:eastAsia="仿宋_GB2312" w:cs="Times New Roman"/>
          <w:sz w:val="32"/>
          <w:shd w:val="clear" w:color="auto" w:fill="FFFFFF"/>
        </w:rPr>
        <w:t>万元，与较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20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公务需要，新增接待人次</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highlight w:val="yellow"/>
          <w:shd w:val="clear" w:color="auto" w:fill="FFFFFF"/>
        </w:rPr>
      </w:pPr>
      <w:r>
        <w:rPr>
          <w:rFonts w:ascii="Times New Roman" w:hAnsi="Times New Roman" w:eastAsia="仿宋_GB2312" w:cs="Times New Roman"/>
          <w:sz w:val="32"/>
          <w:highlight w:val="none"/>
          <w:shd w:val="clear" w:color="auto" w:fill="FFFFFF"/>
        </w:rPr>
        <w:t xml:space="preserve">    因公出国（境）经费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w:t>
      </w:r>
      <w:r>
        <w:rPr>
          <w:rFonts w:hint="default" w:ascii="黑体" w:hAnsi="黑体" w:eastAsia="黑体" w:cs="Times New Roman"/>
          <w:sz w:val="32"/>
          <w:shd w:val="clear" w:color="auto" w:fill="FFFFFF"/>
        </w:rPr>
        <w:t>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我部门无政府性基金预算拨款</w:t>
      </w:r>
      <w:r>
        <w:rPr>
          <w:rFonts w:hint="eastAsia" w:ascii="仿宋_GB2312" w:hAnsi="黑体" w:eastAsia="仿宋_GB2312"/>
          <w:sz w:val="32"/>
          <w:szCs w:val="32"/>
        </w:rPr>
        <w:t>。</w:t>
      </w:r>
    </w:p>
    <w:p>
      <w:pPr>
        <w:numPr>
          <w:ilvl w:val="0"/>
          <w:numId w:val="6"/>
        </w:numPr>
        <w:ind w:firstLine="640"/>
        <w:jc w:val="left"/>
        <w:rPr>
          <w:rFonts w:hint="eastAsia" w:ascii="楷体" w:hAnsi="楷体" w:eastAsia="楷体"/>
          <w:sz w:val="32"/>
          <w:szCs w:val="32"/>
        </w:rPr>
      </w:pPr>
      <w:r>
        <w:rPr>
          <w:rFonts w:hint="eastAsia" w:ascii="楷体" w:hAnsi="楷体" w:eastAsia="楷体"/>
          <w:sz w:val="32"/>
          <w:szCs w:val="32"/>
        </w:rPr>
        <w:t>政府性基金预算当年拨款结构情况</w:t>
      </w:r>
    </w:p>
    <w:p>
      <w:pPr>
        <w:numPr>
          <w:ilvl w:val="-1"/>
          <w:numId w:val="0"/>
        </w:numPr>
        <w:ind w:firstLine="0"/>
        <w:jc w:val="left"/>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无此项预算安排。</w:t>
      </w:r>
    </w:p>
    <w:p>
      <w:pPr>
        <w:numPr>
          <w:ilvl w:val="0"/>
          <w:numId w:val="7"/>
        </w:numPr>
        <w:ind w:firstLine="64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numPr>
          <w:ilvl w:val="-1"/>
          <w:numId w:val="0"/>
        </w:numPr>
        <w:ind w:firstLine="0"/>
        <w:jc w:val="left"/>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无此项预算安排。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2758.69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2758.69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2758.69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801.96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职能转变，政府投资项目委托业务费相应减少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2758.69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1358.69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49.25</w:t>
      </w:r>
      <w:r>
        <w:rPr>
          <w:rFonts w:hint="eastAsia" w:ascii="仿宋_GB2312" w:hAnsi="黑体" w:eastAsia="仿宋_GB2312"/>
          <w:sz w:val="32"/>
          <w:szCs w:val="32"/>
        </w:rPr>
        <w:t>%；项目支出</w:t>
      </w:r>
      <w:r>
        <w:rPr>
          <w:rFonts w:hint="eastAsia" w:ascii="仿宋_GB2312" w:hAnsi="黑体" w:eastAsia="仿宋_GB2312" w:cs="仿宋_GB2312"/>
          <w:sz w:val="32"/>
          <w:szCs w:val="32"/>
        </w:rPr>
        <w:t>1400</w:t>
      </w:r>
      <w:r>
        <w:rPr>
          <w:rFonts w:hint="eastAsia" w:ascii="仿宋_GB2312" w:hAnsi="黑体" w:eastAsia="仿宋_GB2312" w:cs="仿宋_GB2312"/>
          <w:sz w:val="32"/>
          <w:szCs w:val="32"/>
          <w:lang w:val="en-US" w:eastAsia="zh-CN"/>
        </w:rPr>
        <w:t>.00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50.75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801.96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职能转变，政府投资项目委托业务费支出减少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default" w:ascii="仿宋_GB2312" w:hAnsi="黑体" w:eastAsia="仿宋_GB2312" w:cs="仿宋_GB2312"/>
          <w:sz w:val="32"/>
          <w:szCs w:val="32"/>
          <w:highlight w:val="none"/>
          <w:lang w:val="en-US"/>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highlight w:val="yellow"/>
        </w:rPr>
      </w:pPr>
      <w:r>
        <w:rPr>
          <w:rFonts w:hint="eastAsia" w:ascii="仿宋_GB2312" w:hAnsi="黑体" w:eastAsia="仿宋_GB2312" w:cs="仿宋_GB2312"/>
          <w:sz w:val="32"/>
          <w:szCs w:val="32"/>
          <w:highlight w:val="none"/>
          <w:lang w:val="en-US" w:eastAsia="zh-CN"/>
        </w:rPr>
        <w:t>2021</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rPr>
        <w:t>机关运行经费预算</w:t>
      </w:r>
      <w:r>
        <w:rPr>
          <w:rFonts w:hint="eastAsia" w:ascii="仿宋_GB2312" w:hAnsi="黑体" w:eastAsia="仿宋_GB2312" w:cs="仿宋_GB2312"/>
          <w:sz w:val="32"/>
          <w:szCs w:val="32"/>
          <w:highlight w:val="none"/>
          <w:lang w:val="en-US" w:eastAsia="zh-CN"/>
        </w:rPr>
        <w:t>217.95</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121.22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121.22</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2758.69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CD9D09"/>
    <w:multiLevelType w:val="singleLevel"/>
    <w:tmpl w:val="9ACD9D09"/>
    <w:lvl w:ilvl="0" w:tentative="0">
      <w:start w:val="2"/>
      <w:numFmt w:val="chineseCounting"/>
      <w:suff w:val="nothing"/>
      <w:lvlText w:val="（%1）"/>
      <w:lvlJc w:val="left"/>
      <w:rPr>
        <w:rFonts w:hint="eastAsia"/>
      </w:rPr>
    </w:lvl>
  </w:abstractNum>
  <w:abstractNum w:abstractNumId="1">
    <w:nsid w:val="B54B1C59"/>
    <w:multiLevelType w:val="singleLevel"/>
    <w:tmpl w:val="B54B1C59"/>
    <w:lvl w:ilvl="0" w:tentative="0">
      <w:start w:val="3"/>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AA0180"/>
    <w:rsid w:val="00FA4DC7"/>
    <w:rsid w:val="011A1307"/>
    <w:rsid w:val="01F218AF"/>
    <w:rsid w:val="02460FE0"/>
    <w:rsid w:val="02893A14"/>
    <w:rsid w:val="029622C9"/>
    <w:rsid w:val="04C701F2"/>
    <w:rsid w:val="05067830"/>
    <w:rsid w:val="050A5074"/>
    <w:rsid w:val="054C3A05"/>
    <w:rsid w:val="055D59BF"/>
    <w:rsid w:val="05632715"/>
    <w:rsid w:val="06E51CF6"/>
    <w:rsid w:val="07947CE3"/>
    <w:rsid w:val="079E34B5"/>
    <w:rsid w:val="07B726D1"/>
    <w:rsid w:val="07E457BB"/>
    <w:rsid w:val="08411211"/>
    <w:rsid w:val="08970704"/>
    <w:rsid w:val="08DB0CB8"/>
    <w:rsid w:val="0986005A"/>
    <w:rsid w:val="0B025FD7"/>
    <w:rsid w:val="0BCB2173"/>
    <w:rsid w:val="0C2F60DF"/>
    <w:rsid w:val="0C690A0D"/>
    <w:rsid w:val="0C961F3B"/>
    <w:rsid w:val="0C9B06D7"/>
    <w:rsid w:val="0D3D28E5"/>
    <w:rsid w:val="0D530B5E"/>
    <w:rsid w:val="0DA278E4"/>
    <w:rsid w:val="0E0B6682"/>
    <w:rsid w:val="0E74521E"/>
    <w:rsid w:val="0EE94550"/>
    <w:rsid w:val="0F2461D6"/>
    <w:rsid w:val="0F626E48"/>
    <w:rsid w:val="109F1355"/>
    <w:rsid w:val="10E83C10"/>
    <w:rsid w:val="11332D8B"/>
    <w:rsid w:val="113A64B3"/>
    <w:rsid w:val="114711E2"/>
    <w:rsid w:val="12202071"/>
    <w:rsid w:val="12A06546"/>
    <w:rsid w:val="12BC5750"/>
    <w:rsid w:val="131F0C9F"/>
    <w:rsid w:val="132658D3"/>
    <w:rsid w:val="135C726D"/>
    <w:rsid w:val="13810BD1"/>
    <w:rsid w:val="139944BE"/>
    <w:rsid w:val="13B64E88"/>
    <w:rsid w:val="15052405"/>
    <w:rsid w:val="158B02F1"/>
    <w:rsid w:val="158D489C"/>
    <w:rsid w:val="159333EA"/>
    <w:rsid w:val="15F26C15"/>
    <w:rsid w:val="16773DE1"/>
    <w:rsid w:val="16805D3C"/>
    <w:rsid w:val="16AE621C"/>
    <w:rsid w:val="176518F3"/>
    <w:rsid w:val="17892975"/>
    <w:rsid w:val="1791007B"/>
    <w:rsid w:val="192C78D2"/>
    <w:rsid w:val="193D14FA"/>
    <w:rsid w:val="19861D16"/>
    <w:rsid w:val="1AC91D57"/>
    <w:rsid w:val="1ADF3551"/>
    <w:rsid w:val="1B20604B"/>
    <w:rsid w:val="1BD85304"/>
    <w:rsid w:val="1C0078DB"/>
    <w:rsid w:val="1C9127D3"/>
    <w:rsid w:val="1D0C35C3"/>
    <w:rsid w:val="1D571B15"/>
    <w:rsid w:val="1D6073D1"/>
    <w:rsid w:val="1DD06FC2"/>
    <w:rsid w:val="1E0B25EB"/>
    <w:rsid w:val="1E137B2D"/>
    <w:rsid w:val="1E3352C9"/>
    <w:rsid w:val="1E4D3014"/>
    <w:rsid w:val="1E8C0B4D"/>
    <w:rsid w:val="1EA83741"/>
    <w:rsid w:val="1F2F3764"/>
    <w:rsid w:val="1F5D14C5"/>
    <w:rsid w:val="207F7F6F"/>
    <w:rsid w:val="20AA6DE1"/>
    <w:rsid w:val="20D45DDF"/>
    <w:rsid w:val="219B5B1B"/>
    <w:rsid w:val="21B17C7C"/>
    <w:rsid w:val="21BB19A7"/>
    <w:rsid w:val="21D20134"/>
    <w:rsid w:val="21D20BFF"/>
    <w:rsid w:val="21DB41FF"/>
    <w:rsid w:val="228C278C"/>
    <w:rsid w:val="234E753E"/>
    <w:rsid w:val="235C48B2"/>
    <w:rsid w:val="236C0ED7"/>
    <w:rsid w:val="23907AC3"/>
    <w:rsid w:val="241E256F"/>
    <w:rsid w:val="241E5CD1"/>
    <w:rsid w:val="246A3C80"/>
    <w:rsid w:val="2475060B"/>
    <w:rsid w:val="258518C0"/>
    <w:rsid w:val="2624077C"/>
    <w:rsid w:val="264C1D33"/>
    <w:rsid w:val="26B95ED9"/>
    <w:rsid w:val="26CB4135"/>
    <w:rsid w:val="272A414A"/>
    <w:rsid w:val="273F1FAB"/>
    <w:rsid w:val="27A419EE"/>
    <w:rsid w:val="27B97D6D"/>
    <w:rsid w:val="289157B7"/>
    <w:rsid w:val="292B153B"/>
    <w:rsid w:val="2AA4412F"/>
    <w:rsid w:val="2AC87A3E"/>
    <w:rsid w:val="2AD21E51"/>
    <w:rsid w:val="2B3E7D80"/>
    <w:rsid w:val="2B551B57"/>
    <w:rsid w:val="2B887AFE"/>
    <w:rsid w:val="2B976EDC"/>
    <w:rsid w:val="2C742942"/>
    <w:rsid w:val="2C8F21FC"/>
    <w:rsid w:val="2C940401"/>
    <w:rsid w:val="2CB85E7A"/>
    <w:rsid w:val="2DC3038F"/>
    <w:rsid w:val="2E44146F"/>
    <w:rsid w:val="2F0E1A4F"/>
    <w:rsid w:val="2F197C99"/>
    <w:rsid w:val="2F5643DF"/>
    <w:rsid w:val="2F806858"/>
    <w:rsid w:val="306E0FC4"/>
    <w:rsid w:val="311477D8"/>
    <w:rsid w:val="31D37E6B"/>
    <w:rsid w:val="322D0DB9"/>
    <w:rsid w:val="324D1C4D"/>
    <w:rsid w:val="347C75C4"/>
    <w:rsid w:val="34A359D0"/>
    <w:rsid w:val="34DF4AC5"/>
    <w:rsid w:val="357249A4"/>
    <w:rsid w:val="365149F9"/>
    <w:rsid w:val="37420E47"/>
    <w:rsid w:val="375605E7"/>
    <w:rsid w:val="376D7954"/>
    <w:rsid w:val="37831716"/>
    <w:rsid w:val="37E379CF"/>
    <w:rsid w:val="37F0294B"/>
    <w:rsid w:val="38202F0C"/>
    <w:rsid w:val="383B2E0E"/>
    <w:rsid w:val="38593140"/>
    <w:rsid w:val="391D4453"/>
    <w:rsid w:val="396910FC"/>
    <w:rsid w:val="3A467F8E"/>
    <w:rsid w:val="3A6432E8"/>
    <w:rsid w:val="3A714AA6"/>
    <w:rsid w:val="3AF20CF3"/>
    <w:rsid w:val="3AF93A09"/>
    <w:rsid w:val="3BD40DB1"/>
    <w:rsid w:val="3C33766C"/>
    <w:rsid w:val="3C677028"/>
    <w:rsid w:val="3C9F79FC"/>
    <w:rsid w:val="3D0F0BBD"/>
    <w:rsid w:val="3DAA0217"/>
    <w:rsid w:val="3DB35995"/>
    <w:rsid w:val="3DCF6B19"/>
    <w:rsid w:val="3E203CEF"/>
    <w:rsid w:val="3E332A76"/>
    <w:rsid w:val="3E710013"/>
    <w:rsid w:val="3EB76FC1"/>
    <w:rsid w:val="3ECF5B90"/>
    <w:rsid w:val="3EF0376E"/>
    <w:rsid w:val="3F5D1B78"/>
    <w:rsid w:val="3F9E714C"/>
    <w:rsid w:val="3FBF18DC"/>
    <w:rsid w:val="3FE47940"/>
    <w:rsid w:val="41104885"/>
    <w:rsid w:val="411D67CF"/>
    <w:rsid w:val="415441C5"/>
    <w:rsid w:val="4163227E"/>
    <w:rsid w:val="416851E9"/>
    <w:rsid w:val="420E2A95"/>
    <w:rsid w:val="424158C2"/>
    <w:rsid w:val="435006CC"/>
    <w:rsid w:val="43DE417C"/>
    <w:rsid w:val="44396735"/>
    <w:rsid w:val="44440F6C"/>
    <w:rsid w:val="4487517B"/>
    <w:rsid w:val="44D25CD8"/>
    <w:rsid w:val="459223D8"/>
    <w:rsid w:val="46CF1FF5"/>
    <w:rsid w:val="4751028D"/>
    <w:rsid w:val="48315EE4"/>
    <w:rsid w:val="488C219F"/>
    <w:rsid w:val="49312256"/>
    <w:rsid w:val="4938088E"/>
    <w:rsid w:val="49B84D7C"/>
    <w:rsid w:val="4AA42144"/>
    <w:rsid w:val="4B801089"/>
    <w:rsid w:val="4D09032F"/>
    <w:rsid w:val="4D4403D0"/>
    <w:rsid w:val="4D7A069B"/>
    <w:rsid w:val="4D935E96"/>
    <w:rsid w:val="4DFD31AA"/>
    <w:rsid w:val="4E065E1C"/>
    <w:rsid w:val="4E726B70"/>
    <w:rsid w:val="4E9E7FE3"/>
    <w:rsid w:val="4F6C2D50"/>
    <w:rsid w:val="4FCB09ED"/>
    <w:rsid w:val="509309A3"/>
    <w:rsid w:val="5099108B"/>
    <w:rsid w:val="50F82DA6"/>
    <w:rsid w:val="51746954"/>
    <w:rsid w:val="517D3A52"/>
    <w:rsid w:val="518619EB"/>
    <w:rsid w:val="518A3F4C"/>
    <w:rsid w:val="51B54D97"/>
    <w:rsid w:val="51D1475E"/>
    <w:rsid w:val="52962632"/>
    <w:rsid w:val="529814B4"/>
    <w:rsid w:val="52994A6D"/>
    <w:rsid w:val="52C35E28"/>
    <w:rsid w:val="534B1FCB"/>
    <w:rsid w:val="535E40BB"/>
    <w:rsid w:val="5534794B"/>
    <w:rsid w:val="55390143"/>
    <w:rsid w:val="55571183"/>
    <w:rsid w:val="561C22F6"/>
    <w:rsid w:val="5662443C"/>
    <w:rsid w:val="578714DC"/>
    <w:rsid w:val="591B6E35"/>
    <w:rsid w:val="59F241D9"/>
    <w:rsid w:val="5A1B6640"/>
    <w:rsid w:val="5B5051FA"/>
    <w:rsid w:val="5C1E5E27"/>
    <w:rsid w:val="5C6969F2"/>
    <w:rsid w:val="5CA4786B"/>
    <w:rsid w:val="5CBE30F1"/>
    <w:rsid w:val="5CF21CFE"/>
    <w:rsid w:val="5D4539A3"/>
    <w:rsid w:val="5D7C3EC4"/>
    <w:rsid w:val="5DA043B0"/>
    <w:rsid w:val="5DB600E2"/>
    <w:rsid w:val="5E467FBD"/>
    <w:rsid w:val="5EA92DB5"/>
    <w:rsid w:val="5F9938CA"/>
    <w:rsid w:val="5FEC3E22"/>
    <w:rsid w:val="605B5CC8"/>
    <w:rsid w:val="60945A18"/>
    <w:rsid w:val="60D70AA1"/>
    <w:rsid w:val="60F46DB5"/>
    <w:rsid w:val="615C5766"/>
    <w:rsid w:val="61721EA4"/>
    <w:rsid w:val="62211A5B"/>
    <w:rsid w:val="62C0513A"/>
    <w:rsid w:val="6316596F"/>
    <w:rsid w:val="636A5C0D"/>
    <w:rsid w:val="63AD4043"/>
    <w:rsid w:val="63C6605F"/>
    <w:rsid w:val="64765119"/>
    <w:rsid w:val="64866925"/>
    <w:rsid w:val="648C6764"/>
    <w:rsid w:val="64E73E91"/>
    <w:rsid w:val="6505798C"/>
    <w:rsid w:val="651C416B"/>
    <w:rsid w:val="653479BD"/>
    <w:rsid w:val="654E457C"/>
    <w:rsid w:val="657621BD"/>
    <w:rsid w:val="6579329B"/>
    <w:rsid w:val="65EB3C5E"/>
    <w:rsid w:val="666A1D79"/>
    <w:rsid w:val="66E104D1"/>
    <w:rsid w:val="672A3927"/>
    <w:rsid w:val="679672CE"/>
    <w:rsid w:val="67CB5945"/>
    <w:rsid w:val="67FE651F"/>
    <w:rsid w:val="69031773"/>
    <w:rsid w:val="694E1DB3"/>
    <w:rsid w:val="695F26CB"/>
    <w:rsid w:val="696E72D6"/>
    <w:rsid w:val="69904144"/>
    <w:rsid w:val="69AA4340"/>
    <w:rsid w:val="6A7451EA"/>
    <w:rsid w:val="6AA604F0"/>
    <w:rsid w:val="6B9E63D6"/>
    <w:rsid w:val="6C4B743E"/>
    <w:rsid w:val="6CD83715"/>
    <w:rsid w:val="6D2977DD"/>
    <w:rsid w:val="6D5B1CD4"/>
    <w:rsid w:val="6E446FB5"/>
    <w:rsid w:val="6E6904DA"/>
    <w:rsid w:val="6E9B79F1"/>
    <w:rsid w:val="6EB86DC6"/>
    <w:rsid w:val="6F761E9D"/>
    <w:rsid w:val="6FED5D29"/>
    <w:rsid w:val="703B04DE"/>
    <w:rsid w:val="706F1253"/>
    <w:rsid w:val="709637E3"/>
    <w:rsid w:val="70B62203"/>
    <w:rsid w:val="72710990"/>
    <w:rsid w:val="72A52843"/>
    <w:rsid w:val="72AD6AED"/>
    <w:rsid w:val="72F24DEA"/>
    <w:rsid w:val="73B4052B"/>
    <w:rsid w:val="741C7EB1"/>
    <w:rsid w:val="742968EB"/>
    <w:rsid w:val="743C0B01"/>
    <w:rsid w:val="747035E1"/>
    <w:rsid w:val="753C37D8"/>
    <w:rsid w:val="75D4624C"/>
    <w:rsid w:val="768D6809"/>
    <w:rsid w:val="768F38DC"/>
    <w:rsid w:val="76D95AE5"/>
    <w:rsid w:val="778D3A17"/>
    <w:rsid w:val="77EA2DF9"/>
    <w:rsid w:val="78472F65"/>
    <w:rsid w:val="786D3AA3"/>
    <w:rsid w:val="78971CB9"/>
    <w:rsid w:val="78976A10"/>
    <w:rsid w:val="79474ABB"/>
    <w:rsid w:val="79DC64CD"/>
    <w:rsid w:val="7B1B19A3"/>
    <w:rsid w:val="7C15524D"/>
    <w:rsid w:val="7D2C5EAB"/>
    <w:rsid w:val="7D600E0C"/>
    <w:rsid w:val="7DED1A44"/>
    <w:rsid w:val="7E825E5E"/>
    <w:rsid w:val="7EEC6D3F"/>
    <w:rsid w:val="7EF86BEA"/>
    <w:rsid w:val="7F410340"/>
    <w:rsid w:val="7F916D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林明龙</cp:lastModifiedBy>
  <dcterms:modified xsi:type="dcterms:W3CDTF">2021-03-10T01:45:59Z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